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6" w:name="Xba7283ac28203c6e3712ddfea048b3ef733c3d9"/>
    <w:p>
      <w:pPr>
        <w:pStyle w:val="Heading1"/>
      </w:pPr>
      <w:r>
        <w:t xml:space="preserve">SALES REPORT: CHEF RESTAURANT CHAIN PERFORMANCE IN IRAQ BAGHDAD</w:t>
      </w:r>
    </w:p>
    <w:p>
      <w:pPr>
        <w:pStyle w:val="FirstParagraph"/>
      </w:pPr>
      <w:r>
        <w:t xml:space="preserve">Q3 2023 Quarterly Performance Analysis | Prepared for Executive Leadership | Date: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the</w:t>
      </w:r>
      <w:r>
        <w:t xml:space="preserve"> </w:t>
      </w:r>
      <w:r>
        <w:rPr>
          <w:iCs/>
          <w:i/>
        </w:rPr>
        <w:t xml:space="preserve">Chef</w:t>
      </w:r>
      <w:r>
        <w:t xml:space="preserve"> </w:t>
      </w:r>
      <w:r>
        <w:t xml:space="preserve">restaurant chain across Baghdad, Iraq. Despite ongoing economic volatility in the broader Iraq market, Chef has demonstrated remarkable resilience and strategic growth within Baghdad's dynamic culinary landscape. This report outlines key sales metrics for Q3 2023 (July-September), analyzes regional challenges specific to</w:t>
      </w:r>
      <w:r>
        <w:t xml:space="preserve"> </w:t>
      </w:r>
      <w:r>
        <w:rPr>
          <w:bCs/>
          <w:b/>
        </w:rPr>
        <w:t xml:space="preserve">Iraq Baghdad</w:t>
      </w:r>
      <w:r>
        <w:t xml:space="preserve">, and presents actionable recommendations to sustain momentum. Our flagship locations in Karrada, Al-Rusafa, and Al-Mansour have achieved a 32% year-over-year sales increase, significantly outperforming the Baghdad hospitality sector average of 18%. The success of</w:t>
      </w:r>
      <w:r>
        <w:t xml:space="preserve"> </w:t>
      </w:r>
      <w:r>
        <w:rPr>
          <w:iCs/>
          <w:i/>
        </w:rPr>
        <w:t xml:space="preserve">Chef</w:t>
      </w:r>
      <w:r>
        <w:t xml:space="preserve"> </w:t>
      </w:r>
      <w:r>
        <w:t xml:space="preserve">in Baghdad underscores the brand's ability to adapt to local preferences while delivering premium dining experiences.</w:t>
      </w:r>
    </w:p>
    <w:bookmarkEnd w:id="20"/>
    <w:bookmarkStart w:id="21" w:name="Xd5519b31e4f9a2356a1cfb89bb311049d10f525"/>
    <w:p>
      <w:pPr>
        <w:pStyle w:val="Heading2"/>
      </w:pPr>
      <w:r>
        <w:t xml:space="preserve">Market Context: Chef in the Heart of Baghdad</w:t>
      </w:r>
    </w:p>
    <w:p>
      <w:pPr>
        <w:pStyle w:val="FirstParagraph"/>
      </w:pPr>
      <w:r>
        <w:t xml:space="preserve">Baghdad represents the largest and most strategically vital market for Chef's expansion across Iraq. As the capital city with a population exceeding 8 million, Baghdad's culinary scene has evolved from traditional *masaa'el* (family restaurants) to embrace modern, globally inspired dining concepts.</w:t>
      </w:r>
      <w:r>
        <w:t xml:space="preserve"> </w:t>
      </w:r>
      <w:r>
        <w:rPr>
          <w:iCs/>
          <w:i/>
        </w:rPr>
        <w:t xml:space="preserve">Chef</w:t>
      </w:r>
      <w:r>
        <w:t xml:space="preserve"> </w:t>
      </w:r>
      <w:r>
        <w:t xml:space="preserve">entered this competitive landscape in 2021 and has since positioned itself as a premium yet accessible brand catering to Baghdad's growing middle and upper-middle class. Our unique selling proposition—fusing Iraqi culinary heritage with contemporary techniques—is resonating deeply with local patrons seeking authentic yet elevated experiences. This strategic alignment is evident in our Q3 sales trajectory, where menu items incorporating Iraqi staples like</w:t>
      </w:r>
      <w:r>
        <w:t xml:space="preserve"> </w:t>
      </w:r>
      <w:r>
        <w:rPr>
          <w:iCs/>
          <w:i/>
        </w:rPr>
        <w:t xml:space="preserve">masgouf</w:t>
      </w:r>
      <w:r>
        <w:t xml:space="preserve"> </w:t>
      </w:r>
      <w:r>
        <w:t xml:space="preserve">(grilled fish) and</w:t>
      </w:r>
      <w:r>
        <w:t xml:space="preserve"> </w:t>
      </w:r>
      <w:r>
        <w:rPr>
          <w:iCs/>
          <w:i/>
        </w:rPr>
        <w:t xml:space="preserve">makhlouta</w:t>
      </w:r>
      <w:r>
        <w:t xml:space="preserve"> </w:t>
      </w:r>
      <w:r>
        <w:t xml:space="preserve">(date desserts) contributed to a 41% increase in repeat customer visits compared to Q2.</w:t>
      </w:r>
    </w:p>
    <w:bookmarkEnd w:id="21"/>
    <w:bookmarkStart w:id="22"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Location</w:t>
            </w:r>
          </w:p>
        </w:tc>
        <w:tc>
          <w:tcPr/>
          <w:p>
            <w:pPr>
              <w:pStyle w:val="Compact"/>
              <w:jc w:val="left"/>
            </w:pPr>
            <w:r>
              <w:t xml:space="preserve">Revenue (Q3, $)</w:t>
            </w:r>
          </w:p>
        </w:tc>
        <w:tc>
          <w:tcPr/>
          <w:p>
            <w:pPr>
              <w:pStyle w:val="Compact"/>
              <w:jc w:val="left"/>
            </w:pPr>
            <w:r>
              <w:t xml:space="preserve">YoY Growth</w:t>
            </w:r>
          </w:p>
        </w:tc>
        <w:tc>
          <w:tcPr/>
          <w:p>
            <w:pPr>
              <w:pStyle w:val="Compact"/>
              <w:jc w:val="left"/>
            </w:pPr>
            <w:r>
              <w:t xml:space="preserve">Key Contributing Menu Items</w:t>
            </w:r>
          </w:p>
        </w:tc>
      </w:tr>
      <w:tr>
        <w:tc>
          <w:tcPr/>
          <w:p>
            <w:pPr>
              <w:pStyle w:val="Compact"/>
              <w:jc w:val="left"/>
            </w:pPr>
            <w:r>
              <w:t xml:space="preserve">Karrada (Downtown)</w:t>
            </w:r>
          </w:p>
        </w:tc>
        <w:tc>
          <w:tcPr/>
          <w:p>
            <w:pPr>
              <w:pStyle w:val="Compact"/>
              <w:jc w:val="left"/>
            </w:pPr>
            <w:r>
              <w:t xml:space="preserve">$125,400</w:t>
            </w:r>
          </w:p>
        </w:tc>
        <w:tc>
          <w:tcPr/>
          <w:p>
            <w:pPr>
              <w:pStyle w:val="Compact"/>
              <w:jc w:val="left"/>
            </w:pPr>
            <w:r>
              <w:t xml:space="preserve">38%</w:t>
            </w:r>
          </w:p>
        </w:tc>
        <w:tc>
          <w:tcPr/>
          <w:p>
            <w:pPr>
              <w:pStyle w:val="Compact"/>
              <w:jc w:val="left"/>
            </w:pPr>
            <w:r>
              <w:t xml:space="preserve">Iraqi Lamb Kabsa, Chef's Date Tiramisu</w:t>
            </w:r>
          </w:p>
        </w:tc>
      </w:tr>
      <w:tr>
        <w:tc>
          <w:tcPr/>
          <w:p>
            <w:pPr>
              <w:pStyle w:val="Compact"/>
              <w:jc w:val="left"/>
            </w:pPr>
            <w:r>
              <w:t xml:space="preserve">Al-Rusafa (Premium Residential)</w:t>
            </w:r>
          </w:p>
        </w:tc>
        <w:tc>
          <w:tcPr/>
          <w:p>
            <w:pPr>
              <w:pStyle w:val="Compact"/>
              <w:jc w:val="left"/>
            </w:pPr>
            <w:r>
              <w:t xml:space="preserve">$98,200</w:t>
            </w:r>
          </w:p>
        </w:tc>
        <w:tc>
          <w:tcPr/>
          <w:p>
            <w:pPr>
              <w:pStyle w:val="Compact"/>
              <w:jc w:val="left"/>
            </w:pPr>
            <w:r>
              <w:t xml:space="preserve">35%</w:t>
            </w:r>
          </w:p>
        </w:tc>
        <w:tc>
          <w:tcPr/>
          <w:p>
            <w:pPr>
              <w:pStyle w:val="Compact"/>
              <w:jc w:val="left"/>
            </w:pPr>
            <w:r>
              <w:t xml:space="preserve">Saffron-infused Chicken, Iraqi Coffee Bar</w:t>
            </w:r>
          </w:p>
        </w:tc>
      </w:tr>
      <w:tr>
        <w:tc>
          <w:tcPr/>
          <w:p>
            <w:pPr>
              <w:pStyle w:val="Compact"/>
              <w:jc w:val="left"/>
            </w:pPr>
            <w:r>
              <w:t xml:space="preserve">Al-Mansour (Corporate Hub)</w:t>
            </w:r>
          </w:p>
        </w:tc>
        <w:tc>
          <w:tcPr/>
          <w:p>
            <w:pPr>
              <w:pStyle w:val="Compact"/>
              <w:jc w:val="left"/>
            </w:pPr>
            <w:r>
              <w:t xml:space="preserve">$112,600</w:t>
            </w:r>
          </w:p>
        </w:tc>
        <w:tc>
          <w:tcPr/>
          <w:p>
            <w:pPr>
              <w:pStyle w:val="Compact"/>
              <w:jc w:val="left"/>
            </w:pPr>
            <w:r>
              <w:t xml:space="preserve">30%</w:t>
            </w:r>
          </w:p>
        </w:tc>
        <w:tc>
          <w:tcPr/>
          <w:p>
            <w:pPr>
              <w:pStyle w:val="Compact"/>
              <w:jc w:val="left"/>
            </w:pPr>
            <w:r>
              <w:t xml:space="preserve">Chef's Signature Mixed Grill, Baklava Cake</w:t>
            </w:r>
          </w:p>
        </w:tc>
      </w:tr>
      <w:tr>
        <w:tc>
          <w:tcPr/>
          <w:p>
            <w:pPr>
              <w:pStyle w:val="Compact"/>
              <w:jc w:val="left"/>
            </w:pPr>
            <w:r>
              <w:rPr>
                <w:bCs/>
                <w:b/>
              </w:rPr>
              <w:t xml:space="preserve">Total Baghdad Revenue (Q3)</w:t>
            </w:r>
          </w:p>
        </w:tc>
        <w:tc>
          <w:tcPr/>
          <w:p>
            <w:pPr>
              <w:pStyle w:val="Compact"/>
              <w:jc w:val="left"/>
            </w:pPr>
            <w:r>
              <w:rPr>
                <w:bCs/>
                <w:b/>
              </w:rPr>
              <w:t xml:space="preserve">$336,200</w:t>
            </w:r>
          </w:p>
        </w:tc>
        <w:tc>
          <w:tcPr/>
          <w:p>
            <w:pPr>
              <w:pStyle w:val="Compact"/>
              <w:jc w:val="left"/>
            </w:pPr>
            <w:r>
              <w:rPr>
                <w:bCs/>
                <w:b/>
              </w:rPr>
              <w:t xml:space="preserve">32% YoY</w:t>
            </w:r>
          </w:p>
        </w:tc>
        <w:tc>
          <w:tcPr/>
          <w:p>
            <w:pPr>
              <w:pStyle w:val="Compact"/>
              <w:jc w:val="left"/>
            </w:pPr>
            <w:r>
              <w:t xml:space="preserve">N/A</w:t>
            </w:r>
          </w:p>
        </w:tc>
      </w:tr>
    </w:tbl>
    <w:p>
      <w:pPr>
        <w:pStyle w:val="BodyText"/>
      </w:pPr>
      <w:r>
        <w:t xml:space="preserve">The consistent performance across all Baghdad locations reflects Chef's deep understanding of local consumer behavior. Notably, weekend sales (Friday-Saturday) represent 58% of total revenue—a critical insight for Baghdad's social dining culture where weekends are prime family and celebration times. Our loyalty program, "Chef's Circle," now boasts 12,500 active members in Baghdad alone (up from 7,800 in Q2), with members contributing 47% of overall sales volume due to higher visit frequency.</w:t>
      </w:r>
    </w:p>
    <w:bookmarkEnd w:id="22"/>
    <w:bookmarkStart w:id="23" w:name="challenges-specific-to-iraq-baghdad"/>
    <w:p>
      <w:pPr>
        <w:pStyle w:val="Heading2"/>
      </w:pPr>
      <w:r>
        <w:t xml:space="preserve">Challenges Specific to Iraq Baghdad</w:t>
      </w:r>
    </w:p>
    <w:p>
      <w:pPr>
        <w:pStyle w:val="FirstParagraph"/>
      </w:pPr>
      <w:r>
        <w:t xml:space="preserve">Operating within</w:t>
      </w:r>
      <w:r>
        <w:t xml:space="preserve"> </w:t>
      </w:r>
      <w:r>
        <w:rPr>
          <w:bCs/>
          <w:b/>
        </w:rPr>
        <w:t xml:space="preserve">Iraq Baghdad</w:t>
      </w:r>
      <w:r>
        <w:t xml:space="preserve"> </w:t>
      </w:r>
      <w:r>
        <w:t xml:space="preserve">presents unique challenges that directly impact sales performance. Power outages remain a critical issue, disrupting kitchen operations and affecting customer experience during peak hours (evenings). In Q3, we experienced 17 significant power disruptions across all locations, resulting in estimated $8,200 in lost revenue. Supply chain volatility also impacts food costs; imported ingredients (e.g., premium cheeses) saw a 22% cost increase due to currency fluctuations and customs delays. Despite these hurdles, Chef mitigated risks through strategic local sourcing partnerships with Iraqi farmers for key produce like eggplants, tomatoes, and dates—reducing supply chain dependency by 35%.</w:t>
      </w:r>
    </w:p>
    <w:bookmarkEnd w:id="23"/>
    <w:bookmarkStart w:id="24" w:name="X1c22e9b41783d61fef3f76ec8a9181fada718bf"/>
    <w:p>
      <w:pPr>
        <w:pStyle w:val="Heading2"/>
      </w:pPr>
      <w:r>
        <w:t xml:space="preserve">Strategic Recommendations for Continued Growth in Baghdad</w:t>
      </w:r>
    </w:p>
    <w:p>
      <w:pPr>
        <w:pStyle w:val="FirstParagraph"/>
      </w:pPr>
      <w:r>
        <w:t xml:space="preserve">Based on Q3 insights, we propose three prioritized initiatives to maximize Chef's sales potential across Iraq Baghdad:</w:t>
      </w:r>
    </w:p>
    <w:p>
      <w:pPr>
        <w:numPr>
          <w:ilvl w:val="0"/>
          <w:numId w:val="1001"/>
        </w:numPr>
        <w:pStyle w:val="Compact"/>
      </w:pPr>
      <w:r>
        <w:rPr>
          <w:bCs/>
          <w:b/>
        </w:rPr>
        <w:t xml:space="preserve">Localized Power Resilience Plan:</w:t>
      </w:r>
      <w:r>
        <w:t xml:space="preserve"> </w:t>
      </w:r>
      <w:r>
        <w:t xml:space="preserve">Invest in solar-powered backup generators for all Baghdad locations (estimated $18,500 per site). This will reduce downtime during outages by 90%, directly protecting sales revenue. A pilot at the Karrada location yielded a 27% reduction in lost weekend sales during Q3 testing.</w:t>
      </w:r>
    </w:p>
    <w:p>
      <w:pPr>
        <w:numPr>
          <w:ilvl w:val="0"/>
          <w:numId w:val="1001"/>
        </w:numPr>
        <w:pStyle w:val="Compact"/>
      </w:pPr>
      <w:r>
        <w:rPr>
          <w:bCs/>
          <w:b/>
        </w:rPr>
        <w:t xml:space="preserve">Hyper-Local Menu Expansion:</w:t>
      </w:r>
      <w:r>
        <w:t xml:space="preserve"> </w:t>
      </w:r>
      <w:r>
        <w:t xml:space="preserve">Launch "Baghdad Heritage" menu featuring region-specific dishes like *Masgouf* from Wasit and *Biryani* variations from Basra. This leverages local pride while driving average check value up by 15% (as seen in a limited test with Iraqi lamb stew).</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Chef in Iraq Baghdad unequivocally demonstrates the brand's success in a complex market. With strategic localization, adaptive operations, and community-focused initiatives, Chef has not only weathered Iraq's economic challenges but has established itself as a cultural touchstone within Baghdad's dining scene. The 32% YoY revenue growth is a testament to the synergy between Chef’s culinary philosophy and Baghdad’s evolving food culture. As we move into Q4 2023, our focus will intensify on implementing power resilience solutions and deepening local partnerships to ensure sustained growth. The data confirms that</w:t>
      </w:r>
      <w:r>
        <w:t xml:space="preserve"> </w:t>
      </w:r>
      <w:r>
        <w:rPr>
          <w:iCs/>
          <w:i/>
        </w:rPr>
        <w:t xml:space="preserve">Chef</w:t>
      </w:r>
      <w:r>
        <w:t xml:space="preserve"> </w:t>
      </w:r>
      <w:r>
        <w:t xml:space="preserve">isn't merely operating in Baghdad—we are becoming part of Baghdad's culinary identity, and this is the foundation for scaling across all regions of Iraq.</w:t>
      </w:r>
    </w:p>
    <w:p>
      <w:pPr>
        <w:pStyle w:val="BodyText"/>
      </w:pPr>
      <w:r>
        <w:t xml:space="preserve">"In Baghdad, where every meal tells a story, Chef crafts stories that resonate with the city's soul." – Executive Summary, Q3 Sales Report</w:t>
      </w:r>
    </w:p>
    <w:p>
      <w:pPr>
        <w:pStyle w:val="BodyText"/>
      </w:pPr>
      <w:r>
        <w:t xml:space="preserve">This report is confidential and intended solely for internal use by Chef Iraq Operations. All data derived from Baghdad market analysis (Q3 2023) and internal sales tracking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Performance in Iraq Baghdad</dc:title>
  <dc:creator/>
  <dc:language>en</dc:language>
  <cp:keywords/>
  <dcterms:created xsi:type="dcterms:W3CDTF">2026-07-21T06:56:20Z</dcterms:created>
  <dcterms:modified xsi:type="dcterms:W3CDTF">2026-07-21T06:56:20Z</dcterms:modified>
</cp:coreProperties>
</file>

<file path=docProps/custom.xml><?xml version="1.0" encoding="utf-8"?>
<Properties xmlns="http://schemas.openxmlformats.org/officeDocument/2006/custom-properties" xmlns:vt="http://schemas.openxmlformats.org/officeDocument/2006/docPropsVTypes"/>
</file>