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Chef</w:t>
      </w:r>
      <w:r>
        <w:t xml:space="preserve"> </w:t>
      </w:r>
      <w:r>
        <w:t xml:space="preserve">Culinary</w:t>
      </w:r>
      <w:r>
        <w:t xml:space="preserve"> </w:t>
      </w:r>
      <w:r>
        <w:t xml:space="preserve">Solutions</w:t>
      </w:r>
      <w:r>
        <w:t xml:space="preserve"> </w:t>
      </w:r>
      <w:r>
        <w:t xml:space="preserve">in</w:t>
      </w:r>
      <w:r>
        <w:t xml:space="preserve"> </w:t>
      </w:r>
      <w:r>
        <w:t xml:space="preserve">Japan</w:t>
      </w:r>
      <w:r>
        <w:t xml:space="preserve"> </w:t>
      </w:r>
      <w:r>
        <w:t xml:space="preserve">Osaka</w:t>
      </w:r>
    </w:p>
    <w:bookmarkStart w:id="27" w:name="X05801bd50fd1bae3d1d34a02d64f2a598aeb4e2"/>
    <w:p>
      <w:pPr>
        <w:pStyle w:val="Heading1"/>
      </w:pPr>
      <w:r>
        <w:t xml:space="preserve">ANNUAL SALES REPORT</w:t>
      </w:r>
      <w:r>
        <w:br/>
      </w:r>
      <w:r>
        <w:t xml:space="preserve">FOR CHEF CULINARY SOLUTIONS IN JAPAN OSAKA</w:t>
      </w:r>
    </w:p>
    <w:p>
      <w:pPr>
        <w:pStyle w:val="FirstParagraph"/>
      </w:pPr>
      <w:r>
        <w:t xml:space="preserve">Prepared for Executive Leadership | Q4 2023 | Confidential</w:t>
      </w:r>
    </w:p>
    <w:bookmarkStart w:id="20" w:name="executive-summary"/>
    <w:p>
      <w:pPr>
        <w:pStyle w:val="Heading2"/>
      </w:pPr>
      <w:r>
        <w:t xml:space="preserve">Executive Summary</w:t>
      </w:r>
    </w:p>
    <w:p>
      <w:pPr>
        <w:pStyle w:val="FirstParagraph"/>
      </w:pPr>
      <w:r>
        <w:t xml:space="preserve">This comprehensive Sales Report details the exceptional performance of Chef Culinary Solutions across Japan Osaka during Q1-Q4 2023. The Osaka market demonstrated remarkable growth, contributing significantly to our global expansion strategy. As a premium kitchen appliance brand focused on professional-grade culinary tools, Chef achieved a 37% year-over-year revenue increase in Japan Osaka, outpacing the national average by 18%. This report analyzes sales drivers, market dynamics, and strategic initiatives that positioned Chef as the preferred brand for both commercial kitchens and discerning home chefs in Osaka. The success in Japan Osaka underscores our commitment to understanding local culinary traditions while delivering innovative solutions.</w:t>
      </w:r>
    </w:p>
    <w:bookmarkEnd w:id="20"/>
    <w:bookmarkStart w:id="21" w:name="market-analysis-why-osaka-matters"/>
    <w:p>
      <w:pPr>
        <w:pStyle w:val="Heading2"/>
      </w:pPr>
      <w:r>
        <w:t xml:space="preserve">Market Analysis: Why Osaka Matters</w:t>
      </w:r>
    </w:p>
    <w:p>
      <w:pPr>
        <w:pStyle w:val="FirstParagraph"/>
      </w:pPr>
      <w:r>
        <w:t xml:space="preserve">Osaka stands as the culinary heart of Japan, home to 57% of the country's top-rated restaurants and over 10,000 food establishments. This vibrant food ecosystem creates ideal conditions for Chef's premium product line. The Sales Report reveals that Osaka consumers prioritize quality and authenticity—values perfectly aligned with our brand philosophy. Local chefs consistently cite "tradition meets innovation" as key decision factors, making Chef's heritage-inspired yet technologically advanced products particularly resonant. Our market research in Japan Osaka identified three critical segments: 42% high-end restaurants (especially sushi and kaiseki establishments), 35% culinary schools, and 23% premium home kitchens seeking professional-grade equipment.</w:t>
      </w:r>
    </w:p>
    <w:bookmarkEnd w:id="21"/>
    <w:bookmarkStart w:id="22" w:name="sales-performance-breakdown"/>
    <w:p>
      <w:pPr>
        <w:pStyle w:val="Heading2"/>
      </w:pPr>
      <w:r>
        <w:t xml:space="preserve">Sales Performance Breakdown</w:t>
      </w:r>
    </w:p>
    <w:p>
      <w:pPr>
        <w:pStyle w:val="FirstParagraph"/>
      </w:pPr>
      <w:r>
        <w:t xml:space="preserve">Through rigorous data analysis, this Sales Report highlights Osaka's standout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(JPY)</w:t>
            </w:r>
          </w:p>
        </w:tc>
        <w:tc>
          <w:tcPr/>
          <w:p>
            <w:pPr>
              <w:pStyle w:val="Compact"/>
              <w:jc w:val="left"/>
            </w:pPr>
            <w:r>
              <w:t xml:space="preserve">YoY Growth</w:t>
            </w:r>
          </w:p>
        </w:tc>
        <w:tc>
          <w:tcPr/>
          <w:p>
            <w:pPr>
              <w:pStyle w:val="Compact"/>
              <w:jc w:val="left"/>
            </w:pPr>
            <w:r>
              <w:t xml:space="preserve">Key Product Drivers</w:t>
            </w:r>
          </w:p>
        </w:tc>
      </w:tr>
      <w:tr>
        <w:tc>
          <w:tcPr/>
          <w:p>
            <w:pPr>
              <w:pStyle w:val="Compact"/>
              <w:jc w:val="left"/>
            </w:pPr>
            <w:r>
              <w:t xml:space="preserve">Q1 2023</w:t>
            </w:r>
          </w:p>
        </w:tc>
        <w:tc>
          <w:tcPr/>
          <w:p>
            <w:pPr>
              <w:pStyle w:val="Compact"/>
              <w:jc w:val="left"/>
            </w:pPr>
            <w:r>
              <w:t xml:space="preserve">¥14,850,000</w:t>
            </w:r>
          </w:p>
        </w:tc>
        <w:tc>
          <w:tcPr/>
          <w:p>
            <w:pPr>
              <w:pStyle w:val="Compact"/>
              <w:jc w:val="left"/>
            </w:pPr>
            <w:r>
              <w:t xml:space="preserve">+22%</w:t>
            </w:r>
          </w:p>
        </w:tc>
        <w:tc>
          <w:tcPr/>
          <w:p>
            <w:pPr>
              <w:pStyle w:val="Compact"/>
              <w:jc w:val="left"/>
            </w:pPr>
            <w:r>
              <w:t xml:space="preserve">Sous Vide Precision Cookers (New Launch)</w:t>
            </w:r>
          </w:p>
        </w:tc>
      </w:tr>
      <w:tr>
        <w:tc>
          <w:tcPr/>
          <w:p>
            <w:pPr>
              <w:pStyle w:val="Compact"/>
              <w:jc w:val="left"/>
            </w:pPr>
            <w:r>
              <w:t xml:space="preserve">Q2 2023</w:t>
            </w:r>
          </w:p>
        </w:tc>
        <w:tc>
          <w:tcPr/>
          <w:p>
            <w:pPr>
              <w:pStyle w:val="Compact"/>
              <w:jc w:val="left"/>
            </w:pPr>
            <w:r>
              <w:t xml:space="preserve">¥18,300,000</w:t>
            </w:r>
          </w:p>
        </w:tc>
        <w:tc>
          <w:tcPr/>
          <w:p>
            <w:pPr>
              <w:pStyle w:val="Compact"/>
              <w:jc w:val="left"/>
            </w:pPr>
            <w:r>
              <w:t xml:space="preserve">+31%</w:t>
            </w:r>
          </w:p>
        </w:tc>
        <w:tc>
          <w:tcPr/>
          <w:p>
            <w:pPr>
              <w:pStyle w:val="Compact"/>
              <w:jc w:val="left"/>
            </w:pPr>
            <w:r>
              <w:t xml:space="preserve">Kitchen Pro Series Knives &amp; Smart Cookware</w:t>
            </w:r>
          </w:p>
        </w:tc>
      </w:tr>
      <w:tr>
        <w:tc>
          <w:tcPr/>
          <w:p>
            <w:pPr>
              <w:pStyle w:val="Compact"/>
              <w:jc w:val="left"/>
            </w:pPr>
            <w:r>
              <w:t xml:space="preserve">Q3 2023</w:t>
            </w:r>
          </w:p>
        </w:tc>
        <w:tc>
          <w:tcPr/>
          <w:p>
            <w:pPr>
              <w:pStyle w:val="Compact"/>
              <w:jc w:val="left"/>
            </w:pPr>
            <w:r>
              <w:t xml:space="preserve">¥21,750,000</w:t>
            </w:r>
          </w:p>
        </w:tc>
        <w:tc>
          <w:tcPr/>
          <w:p>
            <w:pPr>
              <w:pStyle w:val="Compact"/>
              <w:jc w:val="left"/>
            </w:pPr>
            <w:r>
              <w:t xml:space="preserve">+44%</w:t>
            </w:r>
          </w:p>
        </w:tc>
        <w:tc>
          <w:tcPr/>
          <w:p>
            <w:pPr>
              <w:pStyle w:val="Compact"/>
              <w:jc w:val="left"/>
            </w:pPr>
            <w:r>
              <w:t xml:space="preserve">Osaka Special Edition Utensil Sets (Cultural Collaboration)</w:t>
            </w:r>
          </w:p>
        </w:tc>
      </w:tr>
      <w:tr>
        <w:tc>
          <w:tcPr/>
          <w:p>
            <w:pPr>
              <w:pStyle w:val="Compact"/>
              <w:jc w:val="left"/>
            </w:pPr>
            <w:r>
              <w:t xml:space="preserve">Q4 2023</w:t>
            </w:r>
          </w:p>
        </w:tc>
        <w:tc>
          <w:tcPr/>
          <w:p>
            <w:pPr>
              <w:pStyle w:val="Compact"/>
              <w:jc w:val="left"/>
            </w:pPr>
            <w:r>
              <w:t xml:space="preserve">¥25,100,000</w:t>
            </w:r>
          </w:p>
        </w:tc>
        <w:tc>
          <w:tcPr/>
          <w:p>
            <w:pPr>
              <w:pStyle w:val="Compact"/>
              <w:jc w:val="left"/>
            </w:pPr>
            <w:r>
              <w:t xml:space="preserve">+58%</w:t>
            </w:r>
          </w:p>
        </w:tc>
        <w:tc>
          <w:tcPr/>
          <w:p>
            <w:pPr>
              <w:pStyle w:val="Compact"/>
              <w:jc w:val="left"/>
            </w:pPr>
            <w:r>
              <w:t xml:space="preserve">Holiday Gift Bundles &amp; Restaurant Partnerships</w:t>
            </w:r>
          </w:p>
        </w:tc>
      </w:tr>
    </w:tbl>
    <w:p>
      <w:pPr>
        <w:pStyle w:val="BodyText"/>
      </w:pPr>
      <w:r>
        <w:t xml:space="preserve">The Sales Report demonstrates how our Osaka strategy directly addressed local market needs. The Q3 launch of "Osaka Heritage" utensil sets—featuring traditional Japanese patterns and materials like washi paper handles—generated unprecedented demand, accounting for 27% of total quarterly revenue. This culturally attuned approach differentiated Chef from competitors and cemented our brand identity in Japan Osaka.</w:t>
      </w:r>
    </w:p>
    <w:bookmarkEnd w:id="22"/>
    <w:bookmarkStart w:id="23" w:name="strategic-initiatives-driving-success"/>
    <w:p>
      <w:pPr>
        <w:pStyle w:val="Heading2"/>
      </w:pPr>
      <w:r>
        <w:t xml:space="preserve">Strategic Initiatives Driving Success</w:t>
      </w:r>
    </w:p>
    <w:p>
      <w:pPr>
        <w:pStyle w:val="FirstParagraph"/>
      </w:pPr>
      <w:r>
        <w:t xml:space="preserve">Our success in Japan Osaka stems from three core strategies that elevated the Chef brand:</w:t>
      </w:r>
    </w:p>
    <w:p>
      <w:pPr>
        <w:numPr>
          <w:ilvl w:val="0"/>
          <w:numId w:val="1001"/>
        </w:numPr>
        <w:pStyle w:val="Compact"/>
      </w:pPr>
      <w:r>
        <w:rPr>
          <w:bCs/>
          <w:b/>
        </w:rPr>
        <w:t xml:space="preserve">Cultural Immersion Program:</w:t>
      </w:r>
      <w:r>
        <w:t xml:space="preserve"> </w:t>
      </w:r>
      <w:r>
        <w:t xml:space="preserve">Chef established an Osaka-based culinary advisory board comprising Michelin-starred chefs and local food historians. This ensured product development aligned with authentic Japanese cooking techniques, directly reflected in our Sales Report metrics.</w:t>
      </w:r>
    </w:p>
    <w:p>
      <w:pPr>
        <w:numPr>
          <w:ilvl w:val="0"/>
          <w:numId w:val="1001"/>
        </w:numPr>
        <w:pStyle w:val="Compact"/>
      </w:pPr>
      <w:r>
        <w:rPr>
          <w:bCs/>
          <w:b/>
        </w:rPr>
        <w:t xml:space="preserve">Hyper-Local Distribution:</w:t>
      </w:r>
      <w:r>
        <w:t xml:space="preserve"> </w:t>
      </w:r>
      <w:r>
        <w:t xml:space="preserve">We partnered with 28 premium kitchen supply stores across Osaka (including iconic retailers like Takashimaya Department Store) instead of relying solely on national distribution. This localized approach increased point-of-sale visibility by 63% in target regions.</w:t>
      </w:r>
    </w:p>
    <w:p>
      <w:pPr>
        <w:numPr>
          <w:ilvl w:val="0"/>
          <w:numId w:val="1001"/>
        </w:numPr>
        <w:pStyle w:val="Compact"/>
      </w:pPr>
      <w:r>
        <w:rPr>
          <w:bCs/>
          <w:b/>
        </w:rPr>
        <w:t xml:space="preserve">Chef's Culinary Academy:</w:t>
      </w:r>
      <w:r>
        <w:t xml:space="preserve"> </w:t>
      </w:r>
      <w:r>
        <w:t xml:space="preserve">The launch of free Osaka-focused cooking workshops at our flagship store in Dotonbori attracted over 1,200 participants. These sessions showcased Chef products while building community trust—a strategy that boosted direct sales by 34%.</w:t>
      </w:r>
    </w:p>
    <w:bookmarkEnd w:id="23"/>
    <w:bookmarkStart w:id="24" w:name="challenges-and-solutions"/>
    <w:p>
      <w:pPr>
        <w:pStyle w:val="Heading2"/>
      </w:pPr>
      <w:r>
        <w:t xml:space="preserve">Challenges and Solutions</w:t>
      </w:r>
    </w:p>
    <w:p>
      <w:pPr>
        <w:pStyle w:val="FirstParagraph"/>
      </w:pPr>
      <w:r>
        <w:t xml:space="preserve">Despite strong growth, the Sales Report identifies initial challenges specific to Japan Osaka:</w:t>
      </w:r>
    </w:p>
    <w:p>
      <w:pPr>
        <w:pStyle w:val="BodyText"/>
      </w:pPr>
      <w:r>
        <w:rPr>
          <w:iCs/>
          <w:i/>
        </w:rPr>
        <w:t xml:space="preserve">Challenge 1: Cultural Misalignment in Marketing</w:t>
      </w:r>
      <w:r>
        <w:br/>
      </w:r>
      <w:r>
        <w:t xml:space="preserve">Early campaigns failed to resonate because they used Western culinary imagery. We rapidly pivoted by collaborating with Osaka-born chef Akiko Sato for our campaign, resulting in a 41% higher engagement rate on social media.</w:t>
      </w:r>
    </w:p>
    <w:p>
      <w:pPr>
        <w:pStyle w:val="BodyText"/>
      </w:pPr>
      <w:r>
        <w:rPr>
          <w:iCs/>
          <w:i/>
        </w:rPr>
        <w:t xml:space="preserve">Challenge 2: Supply Chain Disruptions</w:t>
      </w:r>
      <w:r>
        <w:br/>
      </w:r>
      <w:r>
        <w:t xml:space="preserve">Post-pandemic logistics affected premium material imports. We established a local Osaka warehouse in Namba district, reducing delivery times from 28 to 7 days and increasing customer satisfaction by 39%.</w:t>
      </w:r>
    </w:p>
    <w:bookmarkEnd w:id="24"/>
    <w:bookmarkStart w:id="26" w:name="future-outlook-chefs-path-in-japan-osaka"/>
    <w:p>
      <w:pPr>
        <w:pStyle w:val="Heading2"/>
      </w:pPr>
      <w:r>
        <w:t xml:space="preserve">Future Outlook: Chef's Path in Japan Osaka</w:t>
      </w:r>
    </w:p>
    <w:p>
      <w:pPr>
        <w:pStyle w:val="FirstParagraph"/>
      </w:pPr>
      <w:r>
        <w:t xml:space="preserve">Based on this Sales Report, our strategic priorities for Japan Osaka in 2024 include:</w:t>
      </w:r>
    </w:p>
    <w:p>
      <w:pPr>
        <w:numPr>
          <w:ilvl w:val="0"/>
          <w:numId w:val="1002"/>
        </w:numPr>
        <w:pStyle w:val="Compact"/>
      </w:pPr>
      <w:r>
        <w:rPr>
          <w:bCs/>
          <w:b/>
        </w:rPr>
        <w:t xml:space="preserve">Expanding Restaurant Partnerships:</w:t>
      </w:r>
      <w:r>
        <w:t xml:space="preserve"> </w:t>
      </w:r>
      <w:r>
        <w:t xml:space="preserve">Targeting all top-50 Osaka restaurants with customized equipment leasing programs, projecting ¥85M in new revenue.</w:t>
      </w:r>
    </w:p>
    <w:p>
      <w:pPr>
        <w:numPr>
          <w:ilvl w:val="0"/>
          <w:numId w:val="1002"/>
        </w:numPr>
        <w:pStyle w:val="Compact"/>
      </w:pPr>
      <w:r>
        <w:rPr>
          <w:bCs/>
          <w:b/>
        </w:rPr>
        <w:t xml:space="preserve">Osaka Food Festival Collaboration:</w:t>
      </w:r>
      <w:r>
        <w:t xml:space="preserve"> </w:t>
      </w:r>
      <w:r>
        <w:t xml:space="preserve">Becoming the exclusive kitchen partner for the 2024 Osaka Kōya Matsuri, reaching 1.2M+ attendees through live demonstrations.</w:t>
      </w:r>
    </w:p>
    <w:p>
      <w:pPr>
        <w:numPr>
          <w:ilvl w:val="0"/>
          <w:numId w:val="1002"/>
        </w:numPr>
        <w:pStyle w:val="Compact"/>
      </w:pPr>
      <w:r>
        <w:rPr>
          <w:bCs/>
          <w:b/>
        </w:rPr>
        <w:t xml:space="preserve">Digital Integration:</w:t>
      </w:r>
      <w:r>
        <w:t xml:space="preserve"> </w:t>
      </w:r>
      <w:r>
        <w:t xml:space="preserve">Launching an Osaka-specific AR app allowing customers to virtually "try" Chef products in their kitchen spaces—addressing a key preference identified in our market analysis.</w:t>
      </w:r>
    </w:p>
    <w:p>
      <w:pPr>
        <w:pStyle w:val="FirstParagraph"/>
      </w:pPr>
      <w:r>
        <w:t xml:space="preserve">The Sales Report concludes with a powerful statement: Japan Osaka isn't just another market for Chef—it's the proving ground where culinary tradition and innovation converge. Our 58% Q4 growth demonstrates that when brands deeply respect local culture while delivering exceptional quality, they achieve sustainable success. This report confirms Chef's strategic investment in Japan Osaka is yielding transformative results, setting a benchmark for our global operations.</w:t>
      </w:r>
    </w:p>
    <w:bookmarkStart w:id="25" w:name="key-statistics-from-the-sales-report"/>
    <w:p>
      <w:pPr>
        <w:pStyle w:val="Heading3"/>
      </w:pPr>
      <w:r>
        <w:t xml:space="preserve">KEY STATISTICS FROM THE SALES REPORT</w:t>
      </w:r>
    </w:p>
    <w:p>
      <w:pPr>
        <w:numPr>
          <w:ilvl w:val="0"/>
          <w:numId w:val="1003"/>
        </w:numPr>
        <w:pStyle w:val="Compact"/>
      </w:pPr>
      <w:r>
        <w:rPr>
          <w:bCs/>
          <w:b/>
        </w:rPr>
        <w:t xml:space="preserve">Market Share in Osaka Professional Kitchens:</w:t>
      </w:r>
      <w:r>
        <w:t xml:space="preserve"> </w:t>
      </w:r>
      <w:r>
        <w:t xml:space="preserve">28% (up from 14% in 2021)</w:t>
      </w:r>
    </w:p>
    <w:p>
      <w:pPr>
        <w:numPr>
          <w:ilvl w:val="0"/>
          <w:numId w:val="1003"/>
        </w:numPr>
        <w:pStyle w:val="Compact"/>
      </w:pPr>
      <w:r>
        <w:rPr>
          <w:bCs/>
          <w:b/>
        </w:rPr>
        <w:t xml:space="preserve">Customer Retention Rate:</w:t>
      </w:r>
      <w:r>
        <w:t xml:space="preserve"> </w:t>
      </w:r>
      <w:r>
        <w:t xml:space="preserve">76% (vs. industry average of 59%)</w:t>
      </w:r>
    </w:p>
    <w:p>
      <w:pPr>
        <w:numPr>
          <w:ilvl w:val="0"/>
          <w:numId w:val="1003"/>
        </w:numPr>
        <w:pStyle w:val="Compact"/>
      </w:pPr>
      <w:r>
        <w:rPr>
          <w:bCs/>
          <w:b/>
        </w:rPr>
        <w:t xml:space="preserve">Most Popular Product in Osaka:</w:t>
      </w:r>
      <w:r>
        <w:t xml:space="preserve"> </w:t>
      </w:r>
      <w:r>
        <w:t xml:space="preserve">"Osaka Heritage" All-in-One Knife Set (32% of total units sold)</w:t>
      </w:r>
    </w:p>
    <w:p>
      <w:pPr>
        <w:numPr>
          <w:ilvl w:val="0"/>
          <w:numId w:val="1003"/>
        </w:numPr>
        <w:pStyle w:val="Compact"/>
      </w:pPr>
      <w:r>
        <w:rPr>
          <w:bCs/>
          <w:b/>
        </w:rPr>
        <w:t xml:space="preserve">Largest Revenue Contributor:</w:t>
      </w:r>
      <w:r>
        <w:t xml:space="preserve"> </w:t>
      </w:r>
      <w:r>
        <w:t xml:space="preserve">Restaurant Equipment Division (67% of total sales)</w:t>
      </w:r>
    </w:p>
    <w:p>
      <w:pPr>
        <w:pStyle w:val="FirstParagraph"/>
      </w:pPr>
      <w:r>
        <w:t xml:space="preserve">This Sales Report is the official record for Chef Culinary Solutions' operations in Japan Osaka. All data verified by our Osaka Market Intelligence Unit and audited by KPMG Japan.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Chef Culinary Solutions in Japan Osaka</dc:title>
  <dc:creator/>
  <cp:keywords/>
  <dcterms:created xsi:type="dcterms:W3CDTF">2026-07-23T05:48:44Z</dcterms:created>
  <dcterms:modified xsi:type="dcterms:W3CDTF">2026-07-23T05:48:44Z</dcterms:modified>
</cp:coreProperties>
</file>

<file path=docProps/custom.xml><?xml version="1.0" encoding="utf-8"?>
<Properties xmlns="http://schemas.openxmlformats.org/officeDocument/2006/custom-properties" xmlns:vt="http://schemas.openxmlformats.org/officeDocument/2006/docPropsVTypes"/>
</file>