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Chef</w:t>
      </w:r>
      <w:r>
        <w:t xml:space="preserve"> </w:t>
      </w:r>
      <w:r>
        <w:t xml:space="preserve">Solutions</w:t>
      </w:r>
      <w:r>
        <w:t xml:space="preserve"> </w:t>
      </w:r>
      <w:r>
        <w:t xml:space="preserve">in</w:t>
      </w:r>
      <w:r>
        <w:t xml:space="preserve"> </w:t>
      </w:r>
      <w:r>
        <w:t xml:space="preserve">Netherlands</w:t>
      </w:r>
      <w:r>
        <w:t xml:space="preserve"> </w:t>
      </w:r>
      <w:r>
        <w:t xml:space="preserve">Amsterdam</w:t>
      </w:r>
    </w:p>
    <w:bookmarkStart w:id="27" w:name="X2da6fad16477d32618ac158da89e1465ae664ac"/>
    <w:p>
      <w:pPr>
        <w:pStyle w:val="Heading1"/>
      </w:pPr>
      <w:r>
        <w:t xml:space="preserve">Q3 2023 Sales Report: Strategic Performance of Chef Solutions in Netherlands Amsterdam</w:t>
      </w:r>
    </w:p>
    <w:p>
      <w:pPr>
        <w:pStyle w:val="FirstParagraph"/>
      </w:pPr>
      <w:r>
        <w:rPr>
          <w:bCs/>
          <w:b/>
        </w:rPr>
        <w:t xml:space="preserve">Prepared For:</w:t>
      </w:r>
      <w:r>
        <w:t xml:space="preserve"> </w:t>
      </w:r>
      <w:r>
        <w:t xml:space="preserve">Executive Leadership Team, Chef Global Operations</w:t>
      </w:r>
      <w:r>
        <w:br/>
      </w:r>
      <w:r>
        <w:rPr>
          <w:bCs/>
          <w:b/>
        </w:rPr>
        <w:t xml:space="preserve">Date:</w:t>
      </w:r>
      <w:r>
        <w:t xml:space="preserve"> </w:t>
      </w:r>
      <w:r>
        <w:t xml:space="preserve">October 26, 2023</w:t>
      </w:r>
      <w:r>
        <w:br/>
      </w:r>
      <w:r>
        <w:rPr>
          <w:bCs/>
          <w:b/>
        </w:rPr>
        <w:t xml:space="preserve">Region:</w:t>
      </w:r>
      <w:r>
        <w:t xml:space="preserve"> </w:t>
      </w:r>
      <w:r>
        <w:t xml:space="preserve">Netherlands (Amsterdam Hub)</w:t>
      </w:r>
    </w:p>
    <w:bookmarkStart w:id="20" w:name="i.-executive-summary"/>
    <w:p>
      <w:pPr>
        <w:pStyle w:val="Heading2"/>
      </w:pPr>
      <w:r>
        <w:t xml:space="preserve">I. Executive Summary</w:t>
      </w:r>
    </w:p>
    <w:p>
      <w:pPr>
        <w:pStyle w:val="FirstParagraph"/>
      </w:pPr>
      <w:r>
        <w:t xml:space="preserve">This Sales Report details the performance of Chef Solutions in the Netherlands Amsterdam market during Q3 2023. The region has emerged as a critical growth corridor for our enterprise automation platform, driven by increasing digital transformation initiatives among Dutch financial institutions, logistics enterprises, and public sector organizations. Key achievements include a 37% year-over-year increase in new logos within Amsterdam’s tech ecosystem and the successful onboarding of three major banking clients (including ABN AMRO). The</w:t>
      </w:r>
      <w:r>
        <w:t xml:space="preserve"> </w:t>
      </w:r>
      <w:r>
        <w:rPr>
          <w:iCs/>
          <w:i/>
        </w:rPr>
        <w:t xml:space="preserve">Chef</w:t>
      </w:r>
      <w:r>
        <w:t xml:space="preserve"> </w:t>
      </w:r>
      <w:r>
        <w:t xml:space="preserve">platform has demonstrated exceptional alignment with Netherlands’ national cloud adoption strategy ("Cloud Strategy Netherlands 2025"), positioning us as a strategic partner for compliant, scalable infrastructure management. This report outlines regional sales metrics, competitive analysis, and actionable strategies to capitalize on Amsterdam’s thriving enterprise market.</w:t>
      </w:r>
    </w:p>
    <w:bookmarkEnd w:id="20"/>
    <w:bookmarkStart w:id="21" w:name="X04d1bdf43806e6f555997351eb95a3a6c2ebdf8"/>
    <w:p>
      <w:pPr>
        <w:pStyle w:val="Heading2"/>
      </w:pPr>
      <w:r>
        <w:t xml:space="preserve">II. Market Context: Why Amsterdam Matters for Chef</w:t>
      </w:r>
    </w:p>
    <w:p>
      <w:pPr>
        <w:pStyle w:val="FirstParagraph"/>
      </w:pPr>
      <w:r>
        <w:t xml:space="preserve">Amsterdam stands as the epicenter of Europe’s fintech innovation and a magnet for global enterprises seeking agile, compliant cloud infrastructure. With over 350 fintech startups in the city (per Dutch Tech Open Data 2023), demand for automated infrastructure management via platforms like</w:t>
      </w:r>
      <w:r>
        <w:t xml:space="preserve"> </w:t>
      </w:r>
      <w:r>
        <w:rPr>
          <w:iCs/>
          <w:i/>
        </w:rPr>
        <w:t xml:space="preserve">Chef</w:t>
      </w:r>
      <w:r>
        <w:t xml:space="preserve"> </w:t>
      </w:r>
      <w:r>
        <w:t xml:space="preserve">has surged. The Netherlands’ commitment to cybersecurity (</w:t>
      </w:r>
      <w:r>
        <w:rPr>
          <w:iCs/>
          <w:i/>
        </w:rPr>
        <w:t xml:space="preserve">Netherlands National Cyber Security Strategy 2023–2031</w:t>
      </w:r>
      <w:r>
        <w:t xml:space="preserve">) directly fuels adoption of Chef’s policy-as-code capabilities, which enable consistent, auditable compliance across hybrid environments. Crucially, Amsterdam’s status as a "Green Tech Hub" (per European Commission rankings) aligns with Chef’s sustainability-focused automation features—reducing compute waste by up to 28% in customer implementations. This synergy positions</w:t>
      </w:r>
      <w:r>
        <w:t xml:space="preserve"> </w:t>
      </w:r>
      <w:r>
        <w:rPr>
          <w:iCs/>
          <w:i/>
        </w:rPr>
        <w:t xml:space="preserve">Chef</w:t>
      </w:r>
      <w:r>
        <w:t xml:space="preserve"> </w:t>
      </w:r>
      <w:r>
        <w:t xml:space="preserve">not merely as a sales opportunity, but as an enabler of Netherlands’ broader economic and environmental goals.</w:t>
      </w:r>
    </w:p>
    <w:bookmarkEnd w:id="21"/>
    <w:bookmarkStart w:id="22" w:name="X474975c634d69be06f5cb622f360d58a98da33c"/>
    <w:p>
      <w:pPr>
        <w:pStyle w:val="Heading2"/>
      </w:pPr>
      <w:r>
        <w:t xml:space="preserve">III. Q3 Sales Performance: Netherlands Amsterdam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New Enterprise Contracts (Amsterdam)</w:t>
      </w:r>
    </w:p>
    <w:p>
      <w:pPr>
        <w:pStyle w:val="BodyText"/>
      </w:pPr>
      <w:r>
        <w:t xml:space="preserve">14</w:t>
      </w:r>
    </w:p>
    <w:p>
      <w:pPr>
        <w:pStyle w:val="BodyText"/>
      </w:pPr>
      <w:r>
        <w:t xml:space="preserve">9</w:t>
      </w:r>
    </w:p>
    <w:p>
      <w:pPr>
        <w:pStyle w:val="BodyText"/>
      </w:pPr>
      <w:r>
        <w:t xml:space="preserve">+55.6%</w:t>
      </w:r>
    </w:p>
    <w:p>
      <w:pPr>
        <w:pStyle w:val="BodyText"/>
      </w:pPr>
      <w:r>
        <w:t xml:space="preserve">Total Contract Value (Amsterdam)</w:t>
      </w:r>
    </w:p>
    <w:p>
      <w:pPr>
        <w:pStyle w:val="BodyText"/>
      </w:pPr>
      <w:r>
        <w:t xml:space="preserve">€2.8M</w:t>
      </w:r>
    </w:p>
    <w:p>
      <w:pPr>
        <w:pStyle w:val="BodyText"/>
      </w:pPr>
      <w:r>
        <w:t xml:space="preserve">€1.7M</w:t>
      </w:r>
    </w:p>
    <w:p>
      <w:pPr>
        <w:pStyle w:val="BodyText"/>
      </w:pPr>
      <w:r>
        <w:rPr>
          <w:iCs/>
          <w:i/>
        </w:rPr>
        <w:t xml:space="preserve">Chef</w:t>
      </w:r>
      <w:r>
        <w:t xml:space="preserve">’s performance in Amsterdam reflects a strategic shift toward high-value enterprise deals. The region contributed 22% of total European revenue (up from 15% in Q2), with the financial sector representing 68% of new sales—driven by regulations like GDPR and the Dutch Financial Markets Supervision Act (Wft). Notable wins include ING Bank’s adoption of</w:t>
      </w:r>
      <w:r>
        <w:t xml:space="preserve"> </w:t>
      </w:r>
      <w:r>
        <w:rPr>
          <w:iCs/>
          <w:i/>
        </w:rPr>
        <w:t xml:space="preserve">Chef Automate</w:t>
      </w:r>
      <w:r>
        <w:t xml:space="preserve"> </w:t>
      </w:r>
      <w:r>
        <w:t xml:space="preserve">for automating PCI-DSS compliance across 15,000+ servers. This deal, secured through a local channel partner (Amsterdam-based tech consultancy "Nexus Digital"), exemplifies our localized go-to-market strategy.</w:t>
      </w:r>
    </w:p>
    <w:bookmarkEnd w:id="22"/>
    <w:bookmarkStart w:id="23" w:name="Xe70e8c3a4b6bf9c017131dad244d2aee2d3dbe0"/>
    <w:p>
      <w:pPr>
        <w:pStyle w:val="Heading2"/>
      </w:pPr>
      <w:r>
        <w:t xml:space="preserve">IV. Competitive Landscape in Netherlands Amsterdam</w:t>
      </w:r>
    </w:p>
    <w:p>
      <w:pPr>
        <w:pStyle w:val="FirstParagraph"/>
      </w:pPr>
      <w:r>
        <w:t xml:space="preserve">The Netherlands market remains fiercely competitive between Chef, Puppet, and Ansible. However,</w:t>
      </w:r>
      <w:r>
        <w:t xml:space="preserve"> </w:t>
      </w:r>
      <w:r>
        <w:rPr>
          <w:iCs/>
          <w:i/>
        </w:rPr>
        <w:t xml:space="preserve">Chef</w:t>
      </w:r>
      <w:r>
        <w:t xml:space="preserve">’s unique value proposition—combining enterprise-grade security with developer-friendly workflows—has gained significant traction. In Q3 2023, our win rate against Puppet in Amsterdam rose to 71% (from 49% in Q1), primarily due to:</w:t>
      </w:r>
    </w:p>
    <w:p>
      <w:pPr>
        <w:numPr>
          <w:ilvl w:val="0"/>
          <w:numId w:val="1001"/>
        </w:numPr>
        <w:pStyle w:val="Compact"/>
      </w:pPr>
      <w:r>
        <w:rPr>
          <w:bCs/>
          <w:b/>
        </w:rPr>
        <w:t xml:space="preserve">Compliance Alignment:</w:t>
      </w:r>
      <w:r>
        <w:t xml:space="preserve"> </w:t>
      </w:r>
      <w:r>
        <w:t xml:space="preserve">Chef’s pre-built compliance profiles for Dutch regulations (e.g., NEN 7510) reduced onboarding time by 40% versus competitors.</w:t>
      </w:r>
    </w:p>
    <w:p>
      <w:pPr>
        <w:numPr>
          <w:ilvl w:val="0"/>
          <w:numId w:val="1001"/>
        </w:numPr>
        <w:pStyle w:val="Compact"/>
      </w:pPr>
      <w:r>
        <w:rPr>
          <w:bCs/>
          <w:b/>
        </w:rPr>
        <w:t xml:space="preserve">Local Expertise:</w:t>
      </w:r>
      <w:r>
        <w:t xml:space="preserve"> </w:t>
      </w:r>
      <w:r>
        <w:t xml:space="preserve">Our Amsterdam-based support team (expanded to 12 FTEs in Q3) resolved Tier-3 tickets within 2.5 hours—beating industry averages by 68%.</w:t>
      </w:r>
    </w:p>
    <w:p>
      <w:pPr>
        <w:numPr>
          <w:ilvl w:val="0"/>
          <w:numId w:val="1001"/>
        </w:numPr>
        <w:pStyle w:val="Compact"/>
      </w:pPr>
      <w:r>
        <w:rPr>
          <w:bCs/>
          <w:b/>
        </w:rPr>
        <w:t xml:space="preserve">Ecosystem Partnerships:</w:t>
      </w:r>
      <w:r>
        <w:t xml:space="preserve"> </w:t>
      </w:r>
      <w:r>
        <w:t xml:space="preserve">Collaborations with AWS Netherlands and Azure Netherlands accelerated deployment for cloud-native clients.</w:t>
      </w:r>
    </w:p>
    <w:bookmarkEnd w:id="23"/>
    <w:bookmarkStart w:id="24" w:name="Xd3e9079c032a6a817682525b29e8eb5372f6dc8"/>
    <w:p>
      <w:pPr>
        <w:pStyle w:val="Heading2"/>
      </w:pPr>
      <w:r>
        <w:t xml:space="preserve">V. Regional Challenges &amp; Mitigation Strategies</w:t>
      </w:r>
    </w:p>
    <w:p>
      <w:pPr>
        <w:pStyle w:val="FirstParagraph"/>
      </w:pPr>
      <w:r>
        <w:t xml:space="preserve">Despite strong growth, two challenges required immediate action in Amsterdam:</w:t>
      </w:r>
    </w:p>
    <w:p>
      <w:pPr>
        <w:numPr>
          <w:ilvl w:val="0"/>
          <w:numId w:val="1002"/>
        </w:numPr>
        <w:pStyle w:val="Compact"/>
      </w:pPr>
      <w:r>
        <w:rPr>
          <w:bCs/>
          <w:b/>
        </w:rPr>
        <w:t xml:space="preserve">Talent Shortage:</w:t>
      </w:r>
      <w:r>
        <w:t xml:space="preserve"> </w:t>
      </w:r>
      <w:r>
        <w:t xml:space="preserve">High demand for DevOps engineers (unemployment at 3.1% in Amsterdam) delayed some implementations. *Mitigation:* Partnered with University of Amsterdam to launch a "Chef Certified Developer" program, recruiting 42 interns in Q3.</w:t>
      </w:r>
    </w:p>
    <w:p>
      <w:pPr>
        <w:numPr>
          <w:ilvl w:val="0"/>
          <w:numId w:val="1002"/>
        </w:numPr>
        <w:pStyle w:val="Compact"/>
      </w:pPr>
      <w:r>
        <w:rPr>
          <w:bCs/>
          <w:b/>
        </w:rPr>
        <w:t xml:space="preserve">Price Sensitivity:</w:t>
      </w:r>
      <w:r>
        <w:t xml:space="preserve"> </w:t>
      </w:r>
      <w:r>
        <w:t xml:space="preserve">Some mid-market clients resisted premium pricing for automation tools. *Mitigation:* Introduced "Chef Core" tier at €15k/year (50% below enterprise pricing), driving 28 new contracts.</w:t>
      </w:r>
    </w:p>
    <w:bookmarkEnd w:id="24"/>
    <w:bookmarkStart w:id="25" w:name="X58437b97978f5d566ed032c96213259b534adc3"/>
    <w:p>
      <w:pPr>
        <w:pStyle w:val="Heading2"/>
      </w:pPr>
      <w:r>
        <w:t xml:space="preserve">VI. Future Outlook: Scaling Chef in Netherlands Amsterdam</w:t>
      </w:r>
    </w:p>
    <w:p>
      <w:pPr>
        <w:pStyle w:val="FirstParagraph"/>
      </w:pPr>
      <w:r>
        <w:t xml:space="preserve">The outlook for</w:t>
      </w:r>
      <w:r>
        <w:t xml:space="preserve"> </w:t>
      </w:r>
      <w:r>
        <w:rPr>
          <w:iCs/>
          <w:i/>
        </w:rPr>
        <w:t xml:space="preserve">Chef</w:t>
      </w:r>
      <w:r>
        <w:t xml:space="preserve"> </w:t>
      </w:r>
      <w:r>
        <w:t xml:space="preserve">in Amsterdam is exceptionally strong. The Dutch government’s "Digitalization of Public Services" initiative (targeting 80% cloud migration by 2025) presents a €14M+ opportunity for Chef, particularly with its integration into the Netherlands’ national data infrastructure framework. Key priorities for Q4 include:</w:t>
      </w:r>
    </w:p>
    <w:p>
      <w:pPr>
        <w:numPr>
          <w:ilvl w:val="0"/>
          <w:numId w:val="1003"/>
        </w:numPr>
        <w:pStyle w:val="Compact"/>
      </w:pPr>
      <w:r>
        <w:t xml:space="preserve">Securing a pilot with the Dutch Ministry of Finance (target: December 2023).</w:t>
      </w:r>
    </w:p>
    <w:p>
      <w:pPr>
        <w:numPr>
          <w:ilvl w:val="0"/>
          <w:numId w:val="1003"/>
        </w:numPr>
        <w:pStyle w:val="Compact"/>
      </w:pPr>
      <w:r>
        <w:t xml:space="preserve">Expanding channel partnerships to cover 80% of Amsterdam’s top 100 enterprises.</w:t>
      </w:r>
    </w:p>
    <w:p>
      <w:pPr>
        <w:numPr>
          <w:ilvl w:val="0"/>
          <w:numId w:val="1003"/>
        </w:numPr>
        <w:pStyle w:val="Compact"/>
      </w:pPr>
      <w:r>
        <w:t xml:space="preserve">Leveraging the Chef Summit at A’DAM Tower (Amsterdam) for client engagement—expected to generate €500k+ in pipeline.</w:t>
      </w:r>
    </w:p>
    <w:bookmarkEnd w:id="25"/>
    <w:bookmarkStart w:id="26" w:name="vii.-conclusion"/>
    <w:p>
      <w:pPr>
        <w:pStyle w:val="Heading2"/>
      </w:pPr>
      <w:r>
        <w:t xml:space="preserve">VII. Conclusion</w:t>
      </w:r>
    </w:p>
    <w:p>
      <w:pPr>
        <w:pStyle w:val="FirstParagraph"/>
      </w:pPr>
      <w:r>
        <w:t xml:space="preserve">The Netherlands Amsterdam market has cemented its position as a strategic pillar for Chef’s European expansion. Q3 2023 demonstrated that our platform delivers measurable ROI through compliance acceleration, cost reduction, and security enhancement—directly resonating with the Netherlands’ economic priorities. As we enter 2024, continued investment in local partnerships and compliance-centric solutions will drive</w:t>
      </w:r>
      <w:r>
        <w:t xml:space="preserve"> </w:t>
      </w:r>
      <w:r>
        <w:rPr>
          <w:iCs/>
          <w:i/>
        </w:rPr>
        <w:t xml:space="preserve">Chef</w:t>
      </w:r>
      <w:r>
        <w:t xml:space="preserve"> </w:t>
      </w:r>
      <w:r>
        <w:t xml:space="preserve">to capture 35% market share in enterprise infrastructure automation across the Netherlands. This Sales Report underscores that Amsterdam isn’t just a regional sales hub—it’s the proving ground for Chef’s global leadership in intelligent infrastructure management.</w:t>
      </w:r>
    </w:p>
    <w:p>
      <w:pPr>
        <w:pStyle w:val="BodyText"/>
      </w:pPr>
      <w:r>
        <w:rPr>
          <w:bCs/>
          <w:b/>
        </w:rPr>
        <w:t xml:space="preserve">Appendix:</w:t>
      </w:r>
      <w:r>
        <w:t xml:space="preserve"> </w:t>
      </w:r>
      <w:r>
        <w:t xml:space="preserve">Key Amsterdam Client Case Studies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Chef Solutions in Netherlands Amsterdam</dc:title>
  <dc:creator/>
  <dc:language>en</dc:language>
  <cp:keywords/>
  <dcterms:created xsi:type="dcterms:W3CDTF">2025-12-11T07:48:14Z</dcterms:created>
  <dcterms:modified xsi:type="dcterms:W3CDTF">2025-12-11T07:48:14Z</dcterms:modified>
</cp:coreProperties>
</file>

<file path=docProps/custom.xml><?xml version="1.0" encoding="utf-8"?>
<Properties xmlns="http://schemas.openxmlformats.org/officeDocument/2006/custom-properties" xmlns:vt="http://schemas.openxmlformats.org/officeDocument/2006/docPropsVTypes"/>
</file>