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fad3045cc3d4b0570921ecb36133a8887f63219"/>
    <w:p>
      <w:pPr>
        <w:pStyle w:val="Heading1"/>
      </w:pPr>
      <w:r>
        <w:t xml:space="preserve">Comprehensive Sales Report: Chef Operations in New Zealand Auckland</w:t>
      </w:r>
    </w:p>
    <w:bookmarkStart w:id="20" w:name="executive-summary"/>
    <w:p>
      <w:pPr>
        <w:pStyle w:val="Heading2"/>
      </w:pPr>
      <w:r>
        <w:t xml:space="preserve">Executive Summary</w:t>
      </w:r>
    </w:p>
    <w:p>
      <w:pPr>
        <w:pStyle w:val="FirstParagraph"/>
      </w:pPr>
      <w:r>
        <w:t xml:space="preserve">This official Sales Report details the performance of Chef, our premium culinary experience brand, across the vibrant market of New Zealand Auckland during Q3 2023. As a leader in fine dining and chef-driven cuisine, Chef has strategically expanded its footprint in Auckland to capture market share while maintaining exceptional service standards. This report outlines key sales metrics, competitive positioning, and growth opportunities specific to the Auckland marketplace. The insights presented are critical for our ongoing success as we navigate the dynamic foodservice landscape of New Zealand's largest city.</w:t>
      </w:r>
    </w:p>
    <w:bookmarkEnd w:id="20"/>
    <w:bookmarkStart w:id="21" w:name="quarterly-sales-performance-in-auckland"/>
    <w:p>
      <w:pPr>
        <w:pStyle w:val="Heading2"/>
      </w:pPr>
      <w:r>
        <w:t xml:space="preserve">Quarterly Sales Performance in Auckland</w:t>
      </w:r>
    </w:p>
    <w:p>
      <w:pPr>
        <w:pStyle w:val="FirstParagraph"/>
      </w:pPr>
      <w:r>
        <w:t xml:space="preserve">Chef's flagship restaurant in downtown Auckland achieved remarkable sales growth of 18.7% compared to Q2 2023, reaching a total revenue of NZD $1.47 million. This performance significantly outpaced the regional average of 5.3% for fine dining establishments in New Zealand Auckland, demonstrating our brand's strong market resonance. The sales surge was driven by three key factors: a successful "Auckland Harvest Menu" featuring locally sourced produce from North Island farms (accounting for 34% of total revenue), a 27% increase in corporate bookings from the central business district, and record-breaking weekend occupancy rates averaging 96%.</w:t>
      </w:r>
    </w:p>
    <w:p>
      <w:pPr>
        <w:pStyle w:val="BodyText"/>
      </w:pPr>
      <w:r>
        <w:t xml:space="preserve">Notably, our Chef-branded catering division generated NZD $215,000 in Auckland-specific contracts during Q3 – a 41% year-over-year increase. This growth was fueled by partnerships with major Auckland-based corporations like Fletcher Construction and ASB Bank for executive events. The sales data clearly indicates that "Chef" has become synonymous with premium hospitality in the New Zealand market, particularly within the Auckland business community where dining experiences directly impact corporate branding.</w:t>
      </w:r>
    </w:p>
    <w:bookmarkEnd w:id="21"/>
    <w:bookmarkStart w:id="22" w:name="Xecaeba301f268b51fc8d6e684b604a74c5a8479"/>
    <w:p>
      <w:pPr>
        <w:pStyle w:val="Heading2"/>
      </w:pPr>
      <w:r>
        <w:t xml:space="preserve">Market Analysis: Auckland's Culinary Landscape</w:t>
      </w:r>
    </w:p>
    <w:p>
      <w:pPr>
        <w:pStyle w:val="FirstParagraph"/>
      </w:pPr>
      <w:r>
        <w:t xml:space="preserve">The New Zealand Auckland foodservice sector is highly competitive, yet Chef has established a distinct position through its chef-centric philosophy. Our unique value proposition – emphasizing "chef-crafted" meals using hyper-local ingredients – differentiates us from generic dining chains. Market analysis reveals that 73% of Auckland diners now prioritize "chef involvement" when choosing restaurants (2023 Food &amp; Beverage Survey, NZ Hospitality Association), a trend Chef has capitalized on effectively.</w:t>
      </w:r>
    </w:p>
    <w:p>
      <w:pPr>
        <w:pStyle w:val="BodyText"/>
      </w:pPr>
      <w:r>
        <w:t xml:space="preserve">Competitive benchmarking shows that while other international brands struggle with menu adaptation in Auckland, Chef's local chefs have successfully integrated Māori culinary traditions like hangi-inspired dishes into our signature menus. This cultural authenticity resonated powerfully during Auckland Food Festival week, where Chef generated 22% of all festival-related bookings across the city. The Sales Report confirms that such culturally attuned offerings are now a primary driver for sales growth in New Zealand's hospitality sector.</w:t>
      </w:r>
    </w:p>
    <w:bookmarkEnd w:id="22"/>
    <w:bookmarkStart w:id="23" w:name="challenges-and-strategic-responses"/>
    <w:p>
      <w:pPr>
        <w:pStyle w:val="Heading2"/>
      </w:pPr>
      <w:r>
        <w:t xml:space="preserve">Challenges and Strategic Responses</w:t>
      </w:r>
    </w:p>
    <w:p>
      <w:pPr>
        <w:pStyle w:val="FirstParagraph"/>
      </w:pPr>
      <w:r>
        <w:t xml:space="preserve">Despite strong performance, Auckland market saturation presented challenges including rising ingredient costs (up 14% from 2022) and labor shortages affecting the hospitality industry nationwide. Our Chef team responded by implementing a dynamic pricing model for premium dishes during peak periods – a strategy that increased average spend per cover by NZD $18.75 without deterring customers, as verified in this Sales Report.</w:t>
      </w:r>
    </w:p>
    <w:p>
      <w:pPr>
        <w:pStyle w:val="BodyText"/>
      </w:pPr>
      <w:r>
        <w:t xml:space="preserve">Additionally, we addressed Auckland-specific challenges through our "Auckland Sourcing Initiative," which forged direct partnerships with 12 local producers including Hauraki Gulf seafood suppliers and Northland vineyards. This not only stabilized costs but also became a key sales narrative – 68% of customers cited "local sourcing" as their primary reason for choosing Chef over competitors during Q3 surveys.</w:t>
      </w:r>
    </w:p>
    <w:bookmarkEnd w:id="23"/>
    <w:bookmarkStart w:id="24" w:name="Xf18917ba01a3ee38f3b0991e3cc3fecacf40ee4"/>
    <w:p>
      <w:pPr>
        <w:pStyle w:val="Heading2"/>
      </w:pPr>
      <w:r>
        <w:t xml:space="preserve">Growth Strategies for New Zealand Auckland</w:t>
      </w:r>
    </w:p>
    <w:p>
      <w:pPr>
        <w:pStyle w:val="FirstParagraph"/>
      </w:pPr>
      <w:r>
        <w:t xml:space="preserve">Based on this Sales Report, we recommend three strategic priorities for expanding Chef's presence in New Zealand Auckland:</w:t>
      </w:r>
    </w:p>
    <w:p>
      <w:pPr>
        <w:numPr>
          <w:ilvl w:val="0"/>
          <w:numId w:val="1001"/>
        </w:numPr>
        <w:pStyle w:val="Compact"/>
      </w:pPr>
      <w:r>
        <w:rPr>
          <w:bCs/>
          <w:b/>
        </w:rPr>
        <w:t xml:space="preserve">Hyper-Local Pop-Up Events:</w:t>
      </w:r>
      <w:r>
        <w:t xml:space="preserve"> </w:t>
      </w:r>
      <w:r>
        <w:t xml:space="preserve">Launching monthly "Chef in the City" pop-ups across iconic Auckland locations (e.g., Devonport, Wynyard Quarter) to deepen community engagement while generating 20% incremental sales from non-traditional dining venues.</w:t>
      </w:r>
    </w:p>
    <w:p>
      <w:pPr>
        <w:numPr>
          <w:ilvl w:val="0"/>
          <w:numId w:val="1001"/>
        </w:numPr>
        <w:pStyle w:val="Compact"/>
      </w:pPr>
      <w:r>
        <w:rPr>
          <w:bCs/>
          <w:b/>
        </w:rPr>
        <w:t xml:space="preserve">Digital Personalization:</w:t>
      </w:r>
      <w:r>
        <w:t xml:space="preserve"> </w:t>
      </w:r>
      <w:r>
        <w:t xml:space="preserve">Implementing an AI-driven reservation system that tailors menus based on customer preferences and Auckland-specific events (e.g., rugby matches, music festivals), projected to increase repeat visits by 35%.</w:t>
      </w:r>
    </w:p>
    <w:p>
      <w:pPr>
        <w:numPr>
          <w:ilvl w:val="0"/>
          <w:numId w:val="1001"/>
        </w:numPr>
        <w:pStyle w:val="Compact"/>
      </w:pPr>
      <w:r>
        <w:rPr>
          <w:bCs/>
          <w:b/>
        </w:rPr>
        <w:t xml:space="preserve">Chef Ambassador Program:</w:t>
      </w:r>
      <w:r>
        <w:t xml:space="preserve"> </w:t>
      </w:r>
      <w:r>
        <w:t xml:space="preserve">Training 15 local chefs as brand ambassadors for community cooking workshops across Auckland schools and community centers, directly strengthening Chef's position as a cultural pillar in New Zealand hospitality.</w:t>
      </w:r>
    </w:p>
    <w:bookmarkEnd w:id="24"/>
    <w:bookmarkStart w:id="26" w:name="conclusion-chefs-future-in-auckland"/>
    <w:p>
      <w:pPr>
        <w:pStyle w:val="Heading2"/>
      </w:pPr>
      <w:r>
        <w:t xml:space="preserve">Conclusion: Chef's Future in Auckland</w:t>
      </w:r>
    </w:p>
    <w:p>
      <w:pPr>
        <w:pStyle w:val="FirstParagraph"/>
      </w:pPr>
      <w:r>
        <w:t xml:space="preserve">This comprehensive Sales Report confirms that "Chef" has not only established itself but is leading innovation within the New Zealand Auckland dining scene. Our Q3 performance demonstrates that when culinary excellence is combined with deep community integration – as exemplified through our Auckland sourcing partnerships and cultural engagement initiatives – sustainable growth becomes achievable even in competitive markets.</w:t>
      </w:r>
    </w:p>
    <w:p>
      <w:pPr>
        <w:pStyle w:val="BodyText"/>
      </w:pPr>
      <w:r>
        <w:t xml:space="preserve">Looking ahead, Chef will maintain its commitment to authentic local partnerships while scaling operations to meet demand across Auckland. Our strategic focus remains firmly on delivering the "Chef experience" that New Zealand diners have come to expect: exceptional cuisine, genuine hospitality, and meaningful connections to the Auckland community. As we continue this journey, this Sales Report serves as both a testament to our current achievements and a roadmap for future success in New Zealand's most dynamic city.</w:t>
      </w:r>
    </w:p>
    <w:bookmarkStart w:id="25" w:name="X5bbd675d400191ecbc98a418bdb2eebb85ae340"/>
    <w:p>
      <w:pPr>
        <w:pStyle w:val="Heading3"/>
      </w:pPr>
      <w:r>
        <w:t xml:space="preserve">Appendix: Key Metrics (New Zealand Auckland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(Auckland)</w:t>
            </w:r>
          </w:p>
        </w:tc>
        <w:tc>
          <w:tcPr/>
          <w:p>
            <w:pPr>
              <w:pStyle w:val="Compact"/>
              <w:jc w:val="left"/>
            </w:pPr>
            <w:r>
              <w:t xml:space="preserve">$1,470,000</w:t>
            </w:r>
          </w:p>
        </w:tc>
        <w:tc>
          <w:tcPr/>
          <w:p>
            <w:pPr>
              <w:pStyle w:val="Compact"/>
              <w:jc w:val="left"/>
            </w:pPr>
            <w:r>
              <w:t xml:space="preserve">$1,238,500</w:t>
            </w:r>
          </w:p>
        </w:tc>
        <w:tc>
          <w:tcPr/>
          <w:p>
            <w:pPr>
              <w:pStyle w:val="Compact"/>
              <w:jc w:val="left"/>
            </w:pPr>
            <w:r>
              <w:t xml:space="preserve">18.7% ↑</w:t>
            </w:r>
          </w:p>
        </w:tc>
      </w:tr>
      <w:tr>
        <w:tc>
          <w:tcPr/>
          <w:p>
            <w:pPr>
              <w:pStyle w:val="Compact"/>
              <w:jc w:val="left"/>
            </w:pPr>
            <w:r>
              <w:t xml:space="preserve">Average Spend per Cover</w:t>
            </w:r>
          </w:p>
        </w:tc>
        <w:tc>
          <w:tcPr/>
          <w:p>
            <w:pPr>
              <w:pStyle w:val="Compact"/>
              <w:jc w:val="left"/>
            </w:pPr>
            <w:r>
              <w:t xml:space="preserve">$98.25</w:t>
            </w:r>
          </w:p>
        </w:tc>
        <w:tc>
          <w:tcPr/>
          <w:p>
            <w:pPr>
              <w:pStyle w:val="Compact"/>
              <w:jc w:val="left"/>
            </w:pPr>
            <w:r>
              <w:t xml:space="preserve">$89.60</w:t>
            </w:r>
          </w:p>
        </w:tc>
        <w:tc>
          <w:tcPr/>
          <w:p>
            <w:pPr>
              <w:pStyle w:val="Compact"/>
              <w:jc w:val="left"/>
            </w:pPr>
            <w:r>
              <w:t xml:space="preserve">9.6% ↑</w:t>
            </w:r>
          </w:p>
        </w:tc>
      </w:tr>
      <w:tr>
        <w:tc>
          <w:tcPr/>
          <w:p>
            <w:pPr>
              <w:pStyle w:val="Compact"/>
              <w:jc w:val="left"/>
            </w:pPr>
            <w:r>
              <w:t xml:space="preserve">Local Ingredient Sourcing (Auckland)</w:t>
            </w:r>
          </w:p>
        </w:tc>
        <w:tc>
          <w:tcPr/>
          <w:p>
            <w:pPr>
              <w:pStyle w:val="Compact"/>
              <w:jc w:val="left"/>
            </w:pPr>
            <w:r>
              <w:t xml:space="preserve">73%</w:t>
            </w:r>
          </w:p>
        </w:tc>
        <w:tc>
          <w:tcPr/>
          <w:p>
            <w:pPr>
              <w:pStyle w:val="Compact"/>
              <w:jc w:val="left"/>
            </w:pPr>
            <w:r>
              <w:t xml:space="preserve">65%</w:t>
            </w:r>
          </w:p>
        </w:tc>
        <w:tc>
          <w:tcPr/>
          <w:p>
            <w:pPr>
              <w:pStyle w:val="Compact"/>
              <w:jc w:val="left"/>
            </w:pPr>
            <w:r>
              <w:t xml:space="preserve">8 pp ↑</w:t>
            </w:r>
          </w:p>
        </w:tc>
      </w:tr>
      <w:tr>
        <w:tc>
          <w:tcPr/>
          <w:p>
            <w:pPr>
              <w:pStyle w:val="Compact"/>
              <w:jc w:val="left"/>
            </w:pPr>
            <w:r>
              <w:t xml:space="preserve">Market Position (NZ Auckland Fine Dining)</w:t>
            </w:r>
          </w:p>
        </w:tc>
        <w:tc>
          <w:tcPr/>
          <w:p>
            <w:pPr>
              <w:pStyle w:val="Compact"/>
            </w:pPr>
          </w:p>
        </w:tc>
        <w:tc>
          <w:tcPr/>
          <w:p>
            <w:pPr>
              <w:pStyle w:val="Compact"/>
            </w:pPr>
          </w:p>
        </w:tc>
        <w:tc>
          <w:tcPr/>
          <w:p>
            <w:pPr>
              <w:pStyle w:val="Compact"/>
            </w:pPr>
          </w:p>
        </w:tc>
      </w:tr>
      <w:tr>
        <w:tc>
          <w:tcPr/>
          <w:p>
            <w:pPr>
              <w:pStyle w:val="Compact"/>
              <w:jc w:val="left"/>
            </w:pPr>
            <w:r>
              <w:t xml:space="preserve">Revenue Growth vs Market Average</w:t>
            </w:r>
          </w:p>
        </w:tc>
        <w:tc>
          <w:tcPr/>
          <w:p>
            <w:pPr>
              <w:pStyle w:val="Compact"/>
              <w:jc w:val="left"/>
            </w:pPr>
            <w:r>
              <w:t xml:space="preserve">+13.4%</w:t>
            </w:r>
          </w:p>
        </w:tc>
        <w:tc>
          <w:tcPr/>
          <w:p>
            <w:pPr>
              <w:pStyle w:val="Compact"/>
              <w:jc w:val="left"/>
            </w:pPr>
            <w:r>
              <w:t xml:space="preserve">+5.3% avg.</w:t>
            </w:r>
          </w:p>
        </w:tc>
        <w:tc>
          <w:tcPr/>
          <w:p>
            <w:pPr>
              <w:pStyle w:val="Compact"/>
              <w:jc w:val="left"/>
            </w:pPr>
            <w:r>
              <w:t xml:space="preserve">252% higher growth rate</w:t>
            </w:r>
          </w:p>
        </w:tc>
      </w:tr>
    </w:tbl>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September 15, 2023 |</w:t>
      </w:r>
      <w:r>
        <w:t xml:space="preserve"> </w:t>
      </w:r>
      <w:r>
        <w:rPr>
          <w:bCs/>
          <w:b/>
        </w:rPr>
        <w:t xml:space="preserve">Chef Operations – New Zealand Auckland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 New Zealand Auckland</dc:title>
  <dc:creator/>
  <dc:language>en</dc:language>
  <cp:keywords/>
  <dcterms:created xsi:type="dcterms:W3CDTF">2026-07-24T14:22:56Z</dcterms:created>
  <dcterms:modified xsi:type="dcterms:W3CDTF">2026-07-24T14:22:56Z</dcterms:modified>
</cp:coreProperties>
</file>

<file path=docProps/custom.xml><?xml version="1.0" encoding="utf-8"?>
<Properties xmlns="http://schemas.openxmlformats.org/officeDocument/2006/custom-properties" xmlns:vt="http://schemas.openxmlformats.org/officeDocument/2006/docPropsVTypes"/>
</file>