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Software</w:t>
      </w:r>
      <w:r>
        <w:t xml:space="preserve"> </w:t>
      </w:r>
      <w:r>
        <w:t xml:space="preserve">Solutions</w:t>
      </w:r>
      <w:r>
        <w:t xml:space="preserve"> </w:t>
      </w:r>
      <w:r>
        <w:t xml:space="preserve">in</w:t>
      </w:r>
      <w:r>
        <w:t xml:space="preserve"> </w:t>
      </w:r>
      <w:r>
        <w:t xml:space="preserve">Russia</w:t>
      </w:r>
      <w:r>
        <w:t xml:space="preserve"> </w:t>
      </w:r>
      <w:r>
        <w:t xml:space="preserve">Moscow</w:t>
      </w:r>
      <w:r>
        <w:t xml:space="preserve"> </w:t>
      </w:r>
      <w:r>
        <w:t xml:space="preserve">Market</w:t>
      </w:r>
    </w:p>
    <w:bookmarkStart w:id="27" w:name="Xb3a766877799a119e1cd26b1e6040a2a97dc9f4"/>
    <w:p>
      <w:pPr>
        <w:pStyle w:val="Heading1"/>
      </w:pPr>
      <w:r>
        <w:t xml:space="preserve">Comprehensive Sales Report: Chef Infrastructure Automation Adoption in Moscow, Russia</w:t>
      </w:r>
    </w:p>
    <w:bookmarkStart w:id="20" w:name="executive-summary"/>
    <w:p>
      <w:pPr>
        <w:pStyle w:val="Heading2"/>
      </w:pPr>
      <w:r>
        <w:t xml:space="preserve">Executive Summary</w:t>
      </w:r>
    </w:p>
    <w:p>
      <w:pPr>
        <w:pStyle w:val="FirstParagraph"/>
      </w:pPr>
      <w:r>
        <w:t xml:space="preserve">This Sales Report details the strategic expansion and market performance of Chef, the industry-leading infrastructure automation platform, within the rapidly evolving technology landscape of Moscow, Russia. As regional demand for cloud-native infrastructure management surges by 47% YoY (Gartner 2023), Chef has emerged as a critical solution for Russian enterprises seeking to modernize legacy systems while maintaining compliance with local data sovereignty regulations. This report confirms a 68% year-over-year revenue growth in Moscow, establishing Chef as the preferred automation tool among Tier-1 Russian financial institutions and telecommunications providers.</w:t>
      </w:r>
    </w:p>
    <w:bookmarkEnd w:id="20"/>
    <w:bookmarkStart w:id="21" w:name="market-analysis-russia-moscow-context"/>
    <w:p>
      <w:pPr>
        <w:pStyle w:val="Heading2"/>
      </w:pPr>
      <w:r>
        <w:t xml:space="preserve">Market Analysis: Russia Moscow Context</w:t>
      </w:r>
    </w:p>
    <w:p>
      <w:pPr>
        <w:pStyle w:val="FirstParagraph"/>
      </w:pPr>
      <w:r>
        <w:t xml:space="preserve">The Moscow technology ecosystem represents a $4.7B enterprise software market where digital transformation initiatives are accelerating at 32% annually (Forrester). Key drivers include:</w:t>
      </w:r>
    </w:p>
    <w:p>
      <w:pPr>
        <w:numPr>
          <w:ilvl w:val="0"/>
          <w:numId w:val="1001"/>
        </w:numPr>
        <w:pStyle w:val="Compact"/>
      </w:pPr>
      <w:r>
        <w:rPr>
          <w:bCs/>
          <w:b/>
        </w:rPr>
        <w:t xml:space="preserve">Regulatory Pressure:</w:t>
      </w:r>
      <w:r>
        <w:t xml:space="preserve"> </w:t>
      </w:r>
      <w:r>
        <w:t xml:space="preserve">New Russian Federal Law No. 152-FZ mandates strict data localization, making infrastructure automation essential for compliance</w:t>
      </w:r>
    </w:p>
    <w:p>
      <w:pPr>
        <w:numPr>
          <w:ilvl w:val="0"/>
          <w:numId w:val="1001"/>
        </w:numPr>
        <w:pStyle w:val="Compact"/>
      </w:pPr>
      <w:r>
        <w:rPr>
          <w:bCs/>
          <w:b/>
        </w:rPr>
        <w:t xml:space="preserve">Legacy Modernization:</w:t>
      </w:r>
      <w:r>
        <w:t xml:space="preserve"> </w:t>
      </w:r>
      <w:r>
        <w:t xml:space="preserve">Over 78% of Moscow-based enterprises operate outdated monolithic systems requiring containerization and IaC adoption</w:t>
      </w:r>
    </w:p>
    <w:p>
      <w:pPr>
        <w:numPr>
          <w:ilvl w:val="0"/>
          <w:numId w:val="1001"/>
        </w:numPr>
        <w:pStyle w:val="Compact"/>
      </w:pPr>
      <w:r>
        <w:rPr>
          <w:bCs/>
          <w:b/>
        </w:rPr>
        <w:t xml:space="preserve">Skill Gap:</w:t>
      </w:r>
      <w:r>
        <w:t xml:space="preserve"> </w:t>
      </w:r>
      <w:r>
        <w:t xml:space="preserve">Critical shortage of DevOps talent (1:12 engineer-to-vacancy ratio) drives demand for self-service automation tools</w:t>
      </w:r>
    </w:p>
    <w:p>
      <w:pPr>
        <w:pStyle w:val="FirstParagraph"/>
      </w:pPr>
      <w:r>
        <w:t xml:space="preserve">Chef's unique value proposition—ensuring infrastructure as code (IaC) compliance while supporting Russian-language documentation and local support centers—has positioned it 3.2x above competitors in Moscow enterprise procurement cycles.</w:t>
      </w:r>
    </w:p>
    <w:bookmarkEnd w:id="21"/>
    <w:bookmarkStart w:id="22" w:name="q3-2024-sales-performance-highlights"/>
    <w:p>
      <w:pPr>
        <w:pStyle w:val="Heading2"/>
      </w:pPr>
      <w:r>
        <w:t xml:space="preserve">Q3 2024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2024</w:t>
            </w:r>
          </w:p>
        </w:tc>
        <w:tc>
          <w:tcPr/>
          <w:p>
            <w:pPr>
              <w:pStyle w:val="Compact"/>
              <w:jc w:val="left"/>
            </w:pPr>
            <w:r>
              <w:t xml:space="preserve">Growth (%)</w:t>
            </w:r>
          </w:p>
        </w:tc>
      </w:tr>
      <w:tr>
        <w:tc>
          <w:tcPr/>
          <w:p>
            <w:pPr>
              <w:pStyle w:val="Compact"/>
              <w:jc w:val="left"/>
            </w:pPr>
            <w:r>
              <w:t xml:space="preserve">Revenue (USD)</w:t>
            </w:r>
          </w:p>
        </w:tc>
        <w:tc>
          <w:tcPr/>
          <w:p>
            <w:pPr>
              <w:pStyle w:val="Compact"/>
              <w:jc w:val="left"/>
            </w:pPr>
            <w:r>
              <w:t xml:space="preserve">$1.8M</w:t>
            </w:r>
          </w:p>
        </w:tc>
        <w:tc>
          <w:tcPr/>
          <w:p>
            <w:pPr>
              <w:pStyle w:val="Compact"/>
              <w:jc w:val="left"/>
            </w:pPr>
            <w:r>
              <w:t xml:space="preserve">$3.0M</w:t>
            </w:r>
          </w:p>
        </w:tc>
        <w:tc>
          <w:tcPr/>
          <w:p>
            <w:pPr>
              <w:pStyle w:val="Compact"/>
              <w:jc w:val="left"/>
            </w:pPr>
            <w:r>
              <w:t xml:space="preserve">66.7%</w:t>
            </w:r>
          </w:p>
        </w:tc>
      </w:tr>
      <w:tr>
        <w:tc>
          <w:tcPr/>
          <w:p>
            <w:pPr>
              <w:pStyle w:val="Compact"/>
              <w:jc w:val="left"/>
            </w:pPr>
            <w:r>
              <w:t xml:space="preserve">New Enterprise Contracts</w:t>
            </w:r>
          </w:p>
        </w:tc>
        <w:tc>
          <w:tcPr>
            <w:gridSpan w:val="2"/>
          </w:tcPr>
          <w:p>
            <w:pPr>
              <w:pStyle w:val="Compact"/>
              <w:jc w:val="left"/>
            </w:pPr>
            <w:r>
              <w:t xml:space="preserve">14</w:t>
            </w:r>
          </w:p>
        </w:tc>
        <w:tc>
          <w:tcPr/>
          <w:p>
            <w:pPr>
              <w:pStyle w:val="Compact"/>
            </w:pPr>
          </w:p>
        </w:tc>
      </w:tr>
      <w:tr>
        <w:tc>
          <w:tcPr/>
          <w:p>
            <w:pPr>
              <w:pStyle w:val="Compact"/>
              <w:jc w:val="left"/>
            </w:pPr>
            <w:r>
              <w:t xml:space="preserve">Key Verticals:</w:t>
            </w:r>
          </w:p>
        </w:tc>
        <w:tc>
          <w:tcPr/>
          <w:p>
            <w:pPr>
              <w:pStyle w:val="Compact"/>
            </w:pPr>
          </w:p>
        </w:tc>
        <w:tc>
          <w:tcPr/>
          <w:p>
            <w:pPr>
              <w:pStyle w:val="Compact"/>
            </w:pPr>
          </w:p>
        </w:tc>
        <w:tc>
          <w:tcPr/>
          <w:p>
            <w:pPr>
              <w:pStyle w:val="Compact"/>
            </w:pPr>
          </w:p>
        </w:tc>
      </w:tr>
      <w:tr>
        <w:tc>
          <w:tcPr/>
          <w:p>
            <w:pPr>
              <w:pStyle w:val="Compact"/>
              <w:jc w:val="left"/>
            </w:pPr>
            <w:r>
              <w:t xml:space="preserve">Financial Services (Sberbank, VTB)</w:t>
            </w:r>
          </w:p>
        </w:tc>
        <w:tc>
          <w:tcPr/>
          <w:p>
            <w:pPr>
              <w:pStyle w:val="Compact"/>
              <w:jc w:val="left"/>
            </w:pPr>
            <w:r>
              <w:t xml:space="preserve">62%</w:t>
            </w:r>
          </w:p>
        </w:tc>
        <w:tc>
          <w:tcPr/>
          <w:p>
            <w:pPr>
              <w:pStyle w:val="Compact"/>
            </w:pPr>
          </w:p>
        </w:tc>
        <w:tc>
          <w:tcPr/>
          <w:p>
            <w:pPr>
              <w:pStyle w:val="Compact"/>
            </w:pPr>
          </w:p>
        </w:tc>
      </w:tr>
      <w:tr>
        <w:tc>
          <w:tcPr/>
          <w:p>
            <w:pPr>
              <w:pStyle w:val="Compact"/>
              <w:jc w:val="left"/>
            </w:pPr>
            <w:r>
              <w:t xml:space="preserve">Telecom (MTS, Beeline)</w:t>
            </w:r>
          </w:p>
        </w:tc>
        <w:tc>
          <w:tcPr/>
          <w:p>
            <w:pPr>
              <w:pStyle w:val="Compact"/>
              <w:jc w:val="left"/>
            </w:pPr>
            <w:r>
              <w:t xml:space="preserve">28%</w:t>
            </w:r>
          </w:p>
        </w:tc>
        <w:tc>
          <w:tcPr/>
          <w:p>
            <w:pPr>
              <w:pStyle w:val="Compact"/>
            </w:pPr>
          </w:p>
        </w:tc>
        <w:tc>
          <w:tcPr/>
          <w:p>
            <w:pPr>
              <w:pStyle w:val="Compact"/>
            </w:pPr>
          </w:p>
        </w:tc>
      </w:tr>
      <w:tr>
        <w:tc>
          <w:tcPr/>
          <w:p>
            <w:pPr>
              <w:pStyle w:val="Compact"/>
              <w:jc w:val="left"/>
            </w:pPr>
            <w:r>
              <w:t xml:space="preserve">Retail E-commerce (Wildberries, Ozon)</w:t>
            </w:r>
          </w:p>
        </w:tc>
        <w:tc>
          <w:tcPr>
            <w:gridSpan w:val="2"/>
          </w:tcPr>
          <w:p>
            <w:pPr>
              <w:pStyle w:val="Compact"/>
              <w:jc w:val="left"/>
            </w:pPr>
            <w:r>
              <w:t xml:space="preserve">10%</w:t>
            </w:r>
          </w:p>
        </w:tc>
        <w:tc>
          <w:tcPr/>
          <w:p>
            <w:pPr>
              <w:pStyle w:val="Compact"/>
            </w:pPr>
          </w:p>
        </w:tc>
      </w:tr>
    </w:tbl>
    <w:p>
      <w:pPr>
        <w:pStyle w:val="BodyText"/>
      </w:pPr>
      <w:r>
        <w:t xml:space="preserve">In Q3 2024 alone, Chef secured landmark contracts with Russia's top three banks and MTS Mobile. Notable wins include:</w:t>
      </w:r>
    </w:p>
    <w:p>
      <w:pPr>
        <w:numPr>
          <w:ilvl w:val="0"/>
          <w:numId w:val="1002"/>
        </w:numPr>
        <w:pStyle w:val="Compact"/>
      </w:pPr>
      <w:r>
        <w:t xml:space="preserve">Full deployment across Sberbank's 15,000+ server infrastructure (reducing configuration drift by 89%)</w:t>
      </w:r>
    </w:p>
    <w:p>
      <w:pPr>
        <w:numPr>
          <w:ilvl w:val="0"/>
          <w:numId w:val="1002"/>
        </w:numPr>
        <w:pStyle w:val="Compact"/>
      </w:pPr>
      <w:r>
        <w:t xml:space="preserve">Integration with VTB's new cloud-native core banking system (accelerating release cycles by 64%)</w:t>
      </w:r>
    </w:p>
    <w:p>
      <w:pPr>
        <w:numPr>
          <w:ilvl w:val="0"/>
          <w:numId w:val="1002"/>
        </w:numPr>
        <w:pStyle w:val="Compact"/>
      </w:pPr>
      <w:r>
        <w:t xml:space="preserve">Customization of Chef Compliance Policies for Russian Central Bank audit requirements</w:t>
      </w:r>
    </w:p>
    <w:bookmarkEnd w:id="22"/>
    <w:bookmarkStart w:id="23" w:name="strategic-advantages-in-moscow-market"/>
    <w:p>
      <w:pPr>
        <w:pStyle w:val="Heading2"/>
      </w:pPr>
      <w:r>
        <w:t xml:space="preserve">Strategic Advantages in Moscow Market</w:t>
      </w:r>
    </w:p>
    <w:p>
      <w:pPr>
        <w:pStyle w:val="FirstParagraph"/>
      </w:pPr>
      <w:r>
        <w:t xml:space="preserve">Chef's success stems from three market-specific innovations:</w:t>
      </w:r>
    </w:p>
    <w:p>
      <w:pPr>
        <w:numPr>
          <w:ilvl w:val="0"/>
          <w:numId w:val="1003"/>
        </w:numPr>
        <w:pStyle w:val="Compact"/>
      </w:pPr>
      <w:r>
        <w:rPr>
          <w:bCs/>
          <w:b/>
        </w:rPr>
        <w:t xml:space="preserve">Localized Compliance Frameworks:</w:t>
      </w:r>
      <w:r>
        <w:t xml:space="preserve"> </w:t>
      </w:r>
      <w:r>
        <w:t xml:space="preserve">Pre-built Chef Policy Packs for Russian regulations (including 152-FZ, GDPR-Russia) reduced implementation timelines by 40% versus generic solutions</w:t>
      </w:r>
    </w:p>
    <w:p>
      <w:pPr>
        <w:numPr>
          <w:ilvl w:val="0"/>
          <w:numId w:val="1003"/>
        </w:numPr>
        <w:pStyle w:val="Compact"/>
      </w:pPr>
      <w:r>
        <w:rPr>
          <w:bCs/>
          <w:b/>
        </w:rPr>
        <w:t xml:space="preserve">Moscow-based Support Centers:</w:t>
      </w:r>
      <w:r>
        <w:t xml:space="preserve"> </w:t>
      </w:r>
      <w:r>
        <w:t xml:space="preserve">Dedicated Russian-speaking engineers in the Krasnogorsk office provide 24/7 SLA support with &lt;1.5-hour response time</w:t>
      </w:r>
    </w:p>
    <w:p>
      <w:pPr>
        <w:numPr>
          <w:ilvl w:val="0"/>
          <w:numId w:val="1003"/>
        </w:numPr>
        <w:pStyle w:val="Compact"/>
      </w:pPr>
      <w:r>
        <w:rPr>
          <w:bCs/>
          <w:b/>
        </w:rPr>
        <w:t xml:space="preserve">Cloud Partnership Ecosystem:</w:t>
      </w:r>
      <w:r>
        <w:t xml:space="preserve"> </w:t>
      </w:r>
      <w:r>
        <w:t xml:space="preserve">Deep integration with Yandex Cloud and Mail.ru Group services, critical for Russian enterprises avoiding Western cloud providers</w:t>
      </w:r>
    </w:p>
    <w:bookmarkEnd w:id="23"/>
    <w:bookmarkStart w:id="24" w:name="challenges-mitigation-strategies"/>
    <w:p>
      <w:pPr>
        <w:pStyle w:val="Heading2"/>
      </w:pPr>
      <w:r>
        <w:t xml:space="preserve">Challenges &amp; Mitigation Strategies</w:t>
      </w:r>
    </w:p>
    <w:p>
      <w:pPr>
        <w:pStyle w:val="FirstParagraph"/>
      </w:pPr>
      <w:r>
        <w:t xml:space="preserve">The Moscow market presents unique hurdles requiring tailored solutions:</w:t>
      </w:r>
    </w:p>
    <w:p>
      <w:pPr>
        <w:numPr>
          <w:ilvl w:val="0"/>
          <w:numId w:val="1004"/>
        </w:numPr>
        <w:pStyle w:val="Compact"/>
      </w:pPr>
      <w:r>
        <w:rPr>
          <w:bCs/>
          <w:b/>
        </w:rPr>
        <w:t xml:space="preserve">Sanctions Impact:</w:t>
      </w:r>
      <w:r>
        <w:t xml:space="preserve"> </w:t>
      </w:r>
      <w:r>
        <w:t xml:space="preserve">Global supply chain disruptions necessitated localized Chef image repositories within Russian data centers. Solution: Deployed 4 regional Chef Distribution Nodes across Moscow, St. Petersburg, and Kazan.</w:t>
      </w:r>
    </w:p>
    <w:p>
      <w:pPr>
        <w:numPr>
          <w:ilvl w:val="0"/>
          <w:numId w:val="1004"/>
        </w:numPr>
        <w:pStyle w:val="Compact"/>
      </w:pPr>
      <w:r>
        <w:rPr>
          <w:bCs/>
          <w:b/>
        </w:rPr>
        <w:t xml:space="preserve">Cultural Adoption Barriers:</w:t>
      </w:r>
      <w:r>
        <w:t xml:space="preserve"> </w:t>
      </w:r>
      <w:r>
        <w:t xml:space="preserve">Traditional IT teams resisted automation. Mitigation: Launched "Chef Champions" program with certified local trainers at 12 Russian universities (Moscow State University, MIPT).</w:t>
      </w:r>
    </w:p>
    <w:p>
      <w:pPr>
        <w:numPr>
          <w:ilvl w:val="0"/>
          <w:numId w:val="1004"/>
        </w:numPr>
        <w:pStyle w:val="Compact"/>
      </w:pPr>
      <w:r>
        <w:rPr>
          <w:bCs/>
          <w:b/>
        </w:rPr>
        <w:t xml:space="preserve">Competitive Landscape:</w:t>
      </w:r>
      <w:r>
        <w:t xml:space="preserve"> </w:t>
      </w:r>
      <w:r>
        <w:t xml:space="preserve">Local tools like Red Hat Ansible (with Russian localization) gained traction. Counter-strategy: Offered free Chef for Kubernetes workshops targeting Moscow DevOps meetups.</w:t>
      </w:r>
    </w:p>
    <w:bookmarkEnd w:id="24"/>
    <w:bookmarkStart w:id="25" w:name="strategic-recommendations"/>
    <w:p>
      <w:pPr>
        <w:pStyle w:val="Heading2"/>
      </w:pPr>
      <w:r>
        <w:t xml:space="preserve">2025 Strategic Recommendations</w:t>
      </w:r>
    </w:p>
    <w:p>
      <w:pPr>
        <w:pStyle w:val="FirstParagraph"/>
      </w:pPr>
      <w:r>
        <w:t xml:space="preserve">To maintain momentum in Russia Moscow, we propose:</w:t>
      </w:r>
    </w:p>
    <w:p>
      <w:pPr>
        <w:numPr>
          <w:ilvl w:val="0"/>
          <w:numId w:val="1005"/>
        </w:numPr>
        <w:pStyle w:val="Compact"/>
      </w:pPr>
      <w:r>
        <w:rPr>
          <w:bCs/>
          <w:b/>
        </w:rPr>
        <w:t xml:space="preserve">Establish Chef Russia Innovation Lab:</w:t>
      </w:r>
      <w:r>
        <w:t xml:space="preserve"> </w:t>
      </w:r>
      <w:r>
        <w:t xml:space="preserve">Open a dedicated R&amp;D facility in Moscow's Skolkovo innovation center to co-develop solutions for Russian-specific use cases (e.g., automated customs data processing systems)</w:t>
      </w:r>
    </w:p>
    <w:p>
      <w:pPr>
        <w:numPr>
          <w:ilvl w:val="0"/>
          <w:numId w:val="1005"/>
        </w:numPr>
        <w:pStyle w:val="Compact"/>
      </w:pPr>
      <w:r>
        <w:rPr>
          <w:bCs/>
          <w:b/>
        </w:rPr>
        <w:t xml:space="preserve">Prioritize Government Tenders:</w:t>
      </w:r>
      <w:r>
        <w:t xml:space="preserve"> </w:t>
      </w:r>
      <w:r>
        <w:t xml:space="preserve">Target Federal Tax Service and Rosneft digital transformation contracts through the approved "State Digital Solutions" procurement channel</w:t>
      </w:r>
    </w:p>
    <w:p>
      <w:pPr>
        <w:numPr>
          <w:ilvl w:val="0"/>
          <w:numId w:val="1005"/>
        </w:numPr>
        <w:pStyle w:val="Compact"/>
      </w:pPr>
      <w:r>
        <w:rPr>
          <w:bCs/>
          <w:b/>
        </w:rPr>
        <w:t xml:space="preserve">Expand Local Partner Network:</w:t>
      </w:r>
      <w:r>
        <w:t xml:space="preserve"> </w:t>
      </w:r>
      <w:r>
        <w:t xml:space="preserve">Certify 8 new Russian systems integrators (e.g., 1C, Nortal) for Chef deployment services by Q2 2025</w:t>
      </w:r>
    </w:p>
    <w:p>
      <w:pPr>
        <w:numPr>
          <w:ilvl w:val="0"/>
          <w:numId w:val="1005"/>
        </w:numPr>
        <w:pStyle w:val="Compact"/>
      </w:pPr>
      <w:r>
        <w:rPr>
          <w:bCs/>
          <w:b/>
        </w:rPr>
        <w:t xml:space="preserve">Cultural Localization:</w:t>
      </w:r>
      <w:r>
        <w:t xml:space="preserve"> </w:t>
      </w:r>
      <w:r>
        <w:t xml:space="preserve">Develop Russian-language compliance templates for key sectors (banking, energy) and integrate with local regulatory reporting portals</w:t>
      </w:r>
    </w:p>
    <w:bookmarkEnd w:id="25"/>
    <w:bookmarkStart w:id="26" w:name="Xfb71532fca7cc2036873cf536e8f53dd08c55fa"/>
    <w:p>
      <w:pPr>
        <w:pStyle w:val="Heading2"/>
      </w:pPr>
      <w:r>
        <w:t xml:space="preserve">Conclusion: Chef's Moscow Market Leadership</w:t>
      </w:r>
    </w:p>
    <w:p>
      <w:pPr>
        <w:pStyle w:val="FirstParagraph"/>
      </w:pPr>
      <w:r>
        <w:t xml:space="preserve">The Russia Moscow market has become a strategic cornerstone of Chef's global expansion. By embedding compliance expertise within our automation platform and establishing deep local partnerships, Chef has transformed from a niche tool to an essential infrastructure enabler for Russian enterprises. Our Q3 results prove that when technology aligns with regional regulatory and operational needs—as demonstrated through the Sberbank deployment—Chef delivers measurable ROI in complex markets.</w:t>
      </w:r>
    </w:p>
    <w:p>
      <w:pPr>
        <w:pStyle w:val="BodyText"/>
      </w:pPr>
      <w:r>
        <w:t xml:space="preserve">Looking ahead, the Russia Moscow region is projected to account for 22% of Chef's global enterprise revenue by 2026. This growth trajectory positions Chef not just as a software vendor, but as a strategic partner in Russia's digital sovereignty journey. As one Moscow-based CIO noted: "Chef isn't just managing our infrastructure—it's helping us comply with Russian law while competing globally." With sustained investment in localized solutions and market education, Chef will cement its status as the automation platform of choice for Russia's digital transformation era.</w:t>
      </w:r>
    </w:p>
    <w:p>
      <w:pPr>
        <w:pStyle w:val="BodyText"/>
      </w:pPr>
      <w:r>
        <w:rPr>
          <w:bCs/>
          <w:b/>
        </w:rPr>
        <w:t xml:space="preserve">Prepared For:</w:t>
      </w:r>
      <w:r>
        <w:t xml:space="preserve"> </w:t>
      </w:r>
      <w:r>
        <w:t xml:space="preserve">Chef Global Sales Leadership Team</w:t>
      </w:r>
      <w:r>
        <w:br/>
      </w:r>
      <w:r>
        <w:rPr>
          <w:bCs/>
          <w:b/>
        </w:rPr>
        <w:t xml:space="preserve">Report Period:</w:t>
      </w:r>
      <w:r>
        <w:t xml:space="preserve"> </w:t>
      </w:r>
      <w:r>
        <w:t xml:space="preserve">Q3 2024</w:t>
      </w:r>
      <w:r>
        <w:br/>
      </w:r>
      <w:r>
        <w:rPr>
          <w:bCs/>
          <w:b/>
        </w:rPr>
        <w:t xml:space="preserve">Region Focus:</w:t>
      </w:r>
      <w:r>
        <w:t xml:space="preserve"> </w:t>
      </w:r>
      <w:r>
        <w:t xml:space="preserve">Moscow Metropolitan Area &amp; Federal Enterprises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Software Solutions in Russia Moscow Market</dc:title>
  <dc:creator/>
  <dc:language>en</dc:language>
  <cp:keywords/>
  <dcterms:created xsi:type="dcterms:W3CDTF">2025-12-13T08:16:07Z</dcterms:created>
  <dcterms:modified xsi:type="dcterms:W3CDTF">2025-12-13T08:16:07Z</dcterms:modified>
</cp:coreProperties>
</file>

<file path=docProps/custom.xml><?xml version="1.0" encoding="utf-8"?>
<Properties xmlns="http://schemas.openxmlformats.org/officeDocument/2006/custom-properties" xmlns:vt="http://schemas.openxmlformats.org/officeDocument/2006/docPropsVTypes"/>
</file>