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Restaurant</w:t>
      </w:r>
      <w:r>
        <w:t xml:space="preserve"> </w:t>
      </w:r>
      <w:r>
        <w:t xml:space="preserve">Concept</w:t>
      </w:r>
      <w:r>
        <w:t xml:space="preserve"> </w:t>
      </w:r>
      <w:r>
        <w:t xml:space="preserve">-</w:t>
      </w:r>
      <w:r>
        <w:t xml:space="preserve"> </w:t>
      </w:r>
      <w:r>
        <w:t xml:space="preserve">Saint</w:t>
      </w:r>
      <w:r>
        <w:t xml:space="preserve"> </w:t>
      </w:r>
      <w:r>
        <w:t xml:space="preserve">Petersburg</w:t>
      </w:r>
      <w:r>
        <w:t xml:space="preserve"> </w:t>
      </w:r>
      <w:r>
        <w:t xml:space="preserve">Market</w:t>
      </w:r>
    </w:p>
    <w:bookmarkStart w:id="29" w:name="Xca7123ba2f7cb56f05aa7a09a59b09c3bfa5fff"/>
    <w:p>
      <w:pPr>
        <w:pStyle w:val="Heading1"/>
      </w:pPr>
      <w:r>
        <w:t xml:space="preserve">Comprehensive Sales Performance Report: Chef Restaurant Concept in Saint Petersburg, Russia</w:t>
      </w:r>
    </w:p>
    <w:bookmarkStart w:id="20" w:name="executive-summary"/>
    <w:p>
      <w:pPr>
        <w:pStyle w:val="Heading2"/>
      </w:pPr>
      <w:r>
        <w:t xml:space="preserve">Executive Summary</w:t>
      </w:r>
    </w:p>
    <w:p>
      <w:pPr>
        <w:pStyle w:val="FirstParagraph"/>
      </w:pPr>
      <w:r>
        <w:t xml:space="preserve">This report details the sales performance of the "Chef" restaurant concept across Saint Petersburg, Russia during Q3 2023 (July-September). Operating as a premium dining destination specializing in contemporary Russian cuisine with European influences, Chef has established itself as a key player in Saint Petersburg's competitive hospitality market. This quarter demonstrated remarkable growth (+18.7% YoY revenue) despite macroeconomic challenges, solidifying Chef's position as the city's preferred destination for both local elites and international visitors seeking authentic culinary experiences.</w:t>
      </w:r>
    </w:p>
    <w:bookmarkEnd w:id="20"/>
    <w:bookmarkStart w:id="21" w:name="Xc4c32647a147bb460599985edbc742595392570"/>
    <w:p>
      <w:pPr>
        <w:pStyle w:val="Heading2"/>
      </w:pPr>
      <w:r>
        <w:t xml:space="preserve">Market Context: Saint Petersburg as a Strategic Hub</w:t>
      </w:r>
    </w:p>
    <w:p>
      <w:pPr>
        <w:pStyle w:val="FirstParagraph"/>
      </w:pPr>
      <w:r>
        <w:t xml:space="preserve">As Russia's cultural capital and second-largest city (population 5.4 million), Saint Petersburg remains a critical market for premium dining establishments. The city attracts 13 million annual tourists, with hospitality spending growing at 9.2% CAGR since 2019. Chef strategically targets this high-value demographic through its location in the historic Nevsky Prospect district—adjacent to major landmarks like the Hermitage Museum and State Russian Museum, generating consistent foot traffic from both tourists and affluent locals.</w:t>
      </w:r>
    </w:p>
    <w:bookmarkEnd w:id="21"/>
    <w:bookmarkStart w:id="23" w:name="q3-2023-sales-performance-highlights"/>
    <w:p>
      <w:pPr>
        <w:pStyle w:val="Heading2"/>
      </w:pPr>
      <w:r>
        <w:t xml:space="preserve">Q3 2023 Sales Performance Highlights</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(RUB)</w:t>
      </w:r>
    </w:p>
    <w:p>
      <w:pPr>
        <w:pStyle w:val="BodyText"/>
      </w:pPr>
      <w:r>
        <w:t xml:space="preserve">18,750,000</w:t>
      </w:r>
    </w:p>
    <w:p>
      <w:pPr>
        <w:pStyle w:val="BodyText"/>
      </w:pPr>
      <w:r>
        <w:t xml:space="preserve">15,800,000</w:t>
      </w:r>
    </w:p>
    <w:p>
      <w:pPr>
        <w:pStyle w:val="BodyText"/>
      </w:pPr>
      <w:r>
        <w:t xml:space="preserve">+18.7%</w:t>
      </w:r>
    </w:p>
    <w:p>
      <w:pPr>
        <w:pStyle w:val="BodyText"/>
      </w:pPr>
      <w:r>
        <w:t xml:space="preserve">Average Daily Covers</w:t>
      </w:r>
    </w:p>
    <w:p>
      <w:pPr>
        <w:pStyle w:val="BodyText"/>
      </w:pPr>
      <w:r>
        <w:t xml:space="preserve">243</w:t>
      </w:r>
    </w:p>
    <w:p>
      <w:pPr>
        <w:pStyle w:val="BodyText"/>
      </w:pPr>
      <w:r>
        <w:t xml:space="preserve">219</w:t>
      </w:r>
    </w:p>
    <w:p>
      <w:pPr>
        <w:pStyle w:val="BodyText"/>
      </w:pPr>
      <w:r>
        <w:t xml:space="preserve">Avg. Check (RUB)</w:t>
      </w:r>
    </w:p>
    <w:p>
      <w:pPr>
        <w:pStyle w:val="BodyText"/>
      </w:pPr>
      <w:r>
        <w:t xml:space="preserve">5,800</w:t>
      </w:r>
    </w:p>
    <w:p>
      <w:pPr>
        <w:pStyle w:val="BodyText"/>
      </w:pPr>
      <w:r>
        <w:t xml:space="preserve">5,450</w:t>
      </w:r>
    </w:p>
    <w:p>
      <w:pPr>
        <w:pStyle w:val="BodyText"/>
      </w:pPr>
      <w:r>
        <w:t xml:space="preserve">Tourist Contribution (% of Revenue)</w:t>
      </w:r>
    </w:p>
    <w:p>
      <w:pPr>
        <w:pStyle w:val="BodyText"/>
      </w:pPr>
      <w:r>
        <w:t xml:space="preserve">42%</w:t>
      </w:r>
    </w:p>
    <w:p>
      <w:pPr>
        <w:pStyle w:val="BodyText"/>
      </w:pPr>
      <w:r>
        <w:t xml:space="preserve">37%</w:t>
      </w:r>
    </w:p>
    <w:p>
      <w:pPr>
        <w:pStyle w:val="BodyText"/>
      </w:pPr>
      <w:r>
        <w:t xml:space="preserve">Lunch Service Revenue Growth</w:t>
      </w:r>
    </w:p>
    <w:p>
      <w:pPr>
        <w:pStyle w:val="BodyText"/>
      </w:pPr>
      <w:r>
        <w:t xml:space="preserve">+29.1%</w:t>
      </w:r>
    </w:p>
    <w:p>
      <w:pPr>
        <w:pStyle w:val="BodyText"/>
      </w:pPr>
      <w:r>
        <w:t xml:space="preserve">+15.8%</w:t>
      </w:r>
    </w:p>
    <w:bookmarkStart w:id="22" w:name="revenue-diversification-success"/>
    <w:p>
      <w:pPr>
        <w:pStyle w:val="Heading3"/>
      </w:pPr>
      <w:r>
        <w:t xml:space="preserve">Revenue Diversification Success</w:t>
      </w:r>
    </w:p>
    <w:p>
      <w:pPr>
        <w:pStyle w:val="FirstParagraph"/>
      </w:pPr>
      <w:r>
        <w:t xml:space="preserve">Crucially, Chef achieved its strongest performance in lunch service (up 29.1% YoY), capturing the growing demand for premium daytime dining among business visitors and museum-goers. This diversification mitigated seasonal fluctuations typical in Saint Petersburg's tourism cycle. The restaurant also expanded weekend occupancy to 98% capacity—surpassing pre-pandemic levels—through targeted promotions like "Hermitage Lunch Club" (partnering with the museum for exclusive visitor packages).</w:t>
      </w:r>
    </w:p>
    <w:bookmarkEnd w:id="22"/>
    <w:bookmarkEnd w:id="23"/>
    <w:bookmarkStart w:id="24" w:name="Xd1f59fa6d452c19830bdaa8ed21b3df35deb2df"/>
    <w:p>
      <w:pPr>
        <w:pStyle w:val="Heading2"/>
      </w:pPr>
      <w:r>
        <w:t xml:space="preserve">Consumer Insights: Why Chef Resonates in Saint Petersburg</w:t>
      </w:r>
    </w:p>
    <w:p>
      <w:pPr>
        <w:pStyle w:val="FirstParagraph"/>
      </w:pPr>
      <w:r>
        <w:t xml:space="preserve">Customer surveys (n=1,200) revealed three key differentiators driving Chef's success in Russia's most discerning market:</w:t>
      </w:r>
    </w:p>
    <w:p>
      <w:pPr>
        <w:numPr>
          <w:ilvl w:val="0"/>
          <w:numId w:val="1001"/>
        </w:numPr>
        <w:pStyle w:val="Compact"/>
      </w:pPr>
      <w:r>
        <w:rPr>
          <w:bCs/>
          <w:b/>
        </w:rPr>
        <w:t xml:space="preserve">Cultural Authenticity with Modern Twist:</w:t>
      </w:r>
      <w:r>
        <w:t xml:space="preserve"> </w:t>
      </w:r>
      <w:r>
        <w:t xml:space="preserve">78% of patrons cited "elevated traditional Russian dishes" (e.g., smoked sturgeon with caviar cream, beetroot soufflé) as the primary reason for return visits. This resonates deeply with Saint Petersburg's appreciation for culinary heritage.</w:t>
      </w:r>
    </w:p>
    <w:p>
      <w:pPr>
        <w:numPr>
          <w:ilvl w:val="0"/>
          <w:numId w:val="1001"/>
        </w:numPr>
        <w:pStyle w:val="Compact"/>
      </w:pPr>
      <w:r>
        <w:rPr>
          <w:bCs/>
          <w:b/>
        </w:rPr>
        <w:t xml:space="preserve">Strategic Location Advantage:</w:t>
      </w:r>
      <w:r>
        <w:t xml:space="preserve"> </w:t>
      </w:r>
      <w:r>
        <w:t xml:space="preserve">65% of tourists visited Chef after museum tours, leveraging its proximity to cultural institutions—critical in a city where 73% of foreign visitors prioritize "cultural experiences" (Russian Tourism Ministry data).</w:t>
      </w:r>
    </w:p>
    <w:p>
      <w:pPr>
        <w:numPr>
          <w:ilvl w:val="0"/>
          <w:numId w:val="1001"/>
        </w:numPr>
        <w:pStyle w:val="Compact"/>
      </w:pPr>
      <w:r>
        <w:rPr>
          <w:bCs/>
          <w:b/>
        </w:rPr>
        <w:t xml:space="preserve">Premium Service Consistency:</w:t>
      </w:r>
      <w:r>
        <w:t xml:space="preserve"> </w:t>
      </w:r>
      <w:r>
        <w:t xml:space="preserve">The Russian clientele values impeccable service, with Chef maintaining a 4.8/5 rating on Google (vs. city average of 4.2), particularly noted for staff's knowledge of wine pairings and local culinary history.</w:t>
      </w:r>
    </w:p>
    <w:bookmarkEnd w:id="24"/>
    <w:bookmarkStart w:id="25" w:name="Xd019a87839407642bcd2114e4672678c82938dd"/>
    <w:p>
      <w:pPr>
        <w:pStyle w:val="Heading2"/>
      </w:pPr>
      <w:r>
        <w:t xml:space="preserve">Competitive Positioning in Saint Petersburg</w:t>
      </w:r>
    </w:p>
    <w:p>
      <w:pPr>
        <w:pStyle w:val="FirstParagraph"/>
      </w:pPr>
      <w:r>
        <w:t xml:space="preserve">Unlike competitors focusing solely on European cuisine (e.g., "Le Petit Paris" at 55% tourist revenue) or budget chains (e.g., "Kafe Malysh" at 68% local volume), Chef has carved a unique niche. Our analysis shows:</w:t>
      </w:r>
    </w:p>
    <w:p>
      <w:pPr>
        <w:numPr>
          <w:ilvl w:val="0"/>
          <w:numId w:val="1002"/>
        </w:numPr>
        <w:pStyle w:val="Compact"/>
      </w:pPr>
      <w:r>
        <w:t xml:space="preserve">Only 12% of Saint Petersburg's top-20 restaurants combine cultural authenticity with premium pricing (Chef's model)</w:t>
      </w:r>
    </w:p>
    <w:p>
      <w:pPr>
        <w:numPr>
          <w:ilvl w:val="0"/>
          <w:numId w:val="1002"/>
        </w:numPr>
        <w:pStyle w:val="Compact"/>
      </w:pPr>
      <w:r>
        <w:t xml:space="preserve">Competitors' average tourist revenue share: 34% vs. Chef's 42%</w:t>
      </w:r>
    </w:p>
    <w:p>
      <w:pPr>
        <w:numPr>
          <w:ilvl w:val="0"/>
          <w:numId w:val="1002"/>
        </w:numPr>
        <w:pStyle w:val="Compact"/>
      </w:pPr>
      <w:r>
        <w:t xml:space="preserve">Chef's lunch service growth outpaced competitors by 17.5 percentage points</w:t>
      </w:r>
    </w:p>
    <w:bookmarkEnd w:id="25"/>
    <w:bookmarkStart w:id="26" w:name="challenges-strategic-responses"/>
    <w:p>
      <w:pPr>
        <w:pStyle w:val="Heading2"/>
      </w:pPr>
      <w:r>
        <w:t xml:space="preserve">Challenges &amp; Strategic Responses</w:t>
      </w:r>
    </w:p>
    <w:p>
      <w:pPr>
        <w:pStyle w:val="FirstParagraph"/>
      </w:pPr>
      <w:r>
        <w:t xml:space="preserve">Key challenges addressed in Q3 included:</w:t>
      </w:r>
    </w:p>
    <w:p>
      <w:pPr>
        <w:numPr>
          <w:ilvl w:val="0"/>
          <w:numId w:val="1003"/>
        </w:numPr>
        <w:pStyle w:val="Compact"/>
      </w:pPr>
      <w:r>
        <w:rPr>
          <w:iCs/>
          <w:i/>
        </w:rPr>
        <w:t xml:space="preserve">Rising Ingredient Costs:</w:t>
      </w:r>
      <w:r>
        <w:t xml:space="preserve"> </w:t>
      </w:r>
      <w:r>
        <w:t xml:space="preserve">Implemented local sourcing partnerships with Karelian and Leningrad region suppliers (reducing food costs by 11%). Example: Sourcing Lake Onega fish directly from Novgorod fishermen, cutting transport costs 32%.</w:t>
      </w:r>
    </w:p>
    <w:p>
      <w:pPr>
        <w:numPr>
          <w:ilvl w:val="0"/>
          <w:numId w:val="1003"/>
        </w:numPr>
        <w:pStyle w:val="Compact"/>
      </w:pPr>
      <w:r>
        <w:rPr>
          <w:iCs/>
          <w:i/>
        </w:rPr>
        <w:t xml:space="preserve">Tourist Revenue Volatility:</w:t>
      </w:r>
      <w:r>
        <w:t xml:space="preserve"> </w:t>
      </w:r>
      <w:r>
        <w:t xml:space="preserve">Launched "Saint Petersburg Local Experience" program with city tour operators for off-season bookings (resulting in 24% steady occupancy during September's low tourist season).</w:t>
      </w:r>
    </w:p>
    <w:p>
      <w:pPr>
        <w:numPr>
          <w:ilvl w:val="0"/>
          <w:numId w:val="1003"/>
        </w:numPr>
        <w:pStyle w:val="Compact"/>
      </w:pPr>
      <w:r>
        <w:rPr>
          <w:iCs/>
          <w:i/>
        </w:rPr>
        <w:t xml:space="preserve">Staff Retention:</w:t>
      </w:r>
      <w:r>
        <w:t xml:space="preserve"> </w:t>
      </w:r>
      <w:r>
        <w:t xml:space="preserve">Introduced profit-sharing for key kitchen personnel—reducing turnover to 8% (below city average of 22%) and enhancing service consistency.</w:t>
      </w:r>
    </w:p>
    <w:bookmarkEnd w:id="26"/>
    <w:bookmarkStart w:id="27" w:name="X1eff9f9b9f9f9c683173e9617b3079c49f8d26f"/>
    <w:p>
      <w:pPr>
        <w:pStyle w:val="Heading2"/>
      </w:pPr>
      <w:r>
        <w:t xml:space="preserve">Future Strategy: Scaling Chef in Saint Petersburg</w:t>
      </w:r>
    </w:p>
    <w:p>
      <w:pPr>
        <w:pStyle w:val="FirstParagraph"/>
      </w:pPr>
      <w:r>
        <w:t xml:space="preserve">To capitalize on Q3 momentum, we recommend:</w:t>
      </w:r>
    </w:p>
    <w:p>
      <w:pPr>
        <w:numPr>
          <w:ilvl w:val="0"/>
          <w:numId w:val="1004"/>
        </w:numPr>
        <w:pStyle w:val="Compact"/>
      </w:pPr>
      <w:r>
        <w:rPr>
          <w:bCs/>
          <w:b/>
        </w:rPr>
        <w:t xml:space="preserve">Expanding the "Cultural Dining" Offerings:</w:t>
      </w:r>
      <w:r>
        <w:t xml:space="preserve"> </w:t>
      </w:r>
      <w:r>
        <w:t xml:space="preserve">Partnering with Saint Petersburg's museums to create exclusive dinner series (e.g., "Imperial Era Tasting Menu" with Hermitage curators) targeting high-value tourist segments.</w:t>
      </w:r>
    </w:p>
    <w:p>
      <w:pPr>
        <w:numPr>
          <w:ilvl w:val="0"/>
          <w:numId w:val="1004"/>
        </w:numPr>
        <w:pStyle w:val="Compact"/>
      </w:pPr>
      <w:r>
        <w:rPr>
          <w:bCs/>
          <w:b/>
        </w:rPr>
        <w:t xml:space="preserve">Digital Integration:</w:t>
      </w:r>
      <w:r>
        <w:t xml:space="preserve"> </w:t>
      </w:r>
      <w:r>
        <w:t xml:space="preserve">Launching a dedicated app for table reservations, personalized wine recommendations, and loyalty points redeemable at partner hotels (targeting 40% digital bookings by Q2 2024).</w:t>
      </w:r>
    </w:p>
    <w:p>
      <w:pPr>
        <w:numPr>
          <w:ilvl w:val="0"/>
          <w:numId w:val="1004"/>
        </w:numPr>
        <w:pStyle w:val="Compact"/>
      </w:pPr>
      <w:r>
        <w:rPr>
          <w:bCs/>
          <w:b/>
        </w:rPr>
        <w:t xml:space="preserve">Local Community Engagement:</w:t>
      </w:r>
      <w:r>
        <w:t xml:space="preserve"> </w:t>
      </w:r>
      <w:r>
        <w:t xml:space="preserve">Initiating "Chef Academy" culinary workshops for Saint Petersburg residents to deepen cultural connection and generate word-of-mouth (planned launch October 2023 with Leningrad Culinary Institute).</w:t>
      </w:r>
    </w:p>
    <w:bookmarkEnd w:id="27"/>
    <w:bookmarkStart w:id="28" w:name="Xb44320a75c7f67406d9f407b1bce58a9654c9da"/>
    <w:p>
      <w:pPr>
        <w:pStyle w:val="Heading2"/>
      </w:pPr>
      <w:r>
        <w:t xml:space="preserve">Conclusion: Chef's Strategic Imperative in Russia's Premium Dining Landscape</w:t>
      </w:r>
    </w:p>
    <w:p>
      <w:pPr>
        <w:pStyle w:val="FirstParagraph"/>
      </w:pPr>
      <w:r>
        <w:t xml:space="preserve">The Q3 2023 performance confirms Chef's unique value proposition in Saint Petersburg: it transcends being merely a restaurant by becoming an integral part of the city's cultural experience. Our data shows that for every 1% increase in tourist revenue share, overall profitability improves by 0.6%—making our strategic location and authentic offering not just advantageous but essential to sustained growth in Russia's most demanding market.</w:t>
      </w:r>
    </w:p>
    <w:p>
      <w:pPr>
        <w:pStyle w:val="BodyText"/>
      </w:pPr>
      <w:r>
        <w:t xml:space="preserve">With Saint Petersburg expected to host the World Choir Games (2024) and Expo 2035 bids underway, Chef is positioned as a critical hospitality anchor. The 18.7% revenue growth in Q3—outperforming the city's hospitality sector average of 14.3%—proves our model's resilience and appeal to Russia's evolving premium dining consumer. As we enter the fourth quarter, Chef will leverage these insights to cement its status as Saint Petersburg's premier culinary destination while driving sustainable expansion across Russia.</w:t>
      </w:r>
    </w:p>
    <w:p>
      <w:pPr>
        <w:pStyle w:val="BodyText"/>
      </w:pPr>
      <w:r>
        <w:rPr>
          <w:iCs/>
          <w:i/>
        </w:rPr>
        <w:t xml:space="preserve">Prepared by: Global Hospitality Analytics Division | Date: October 15,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Restaurant Concept - Saint Petersburg Market</dc:title>
  <dc:creator/>
  <dc:language>en</dc:language>
  <cp:keywords/>
  <dcterms:created xsi:type="dcterms:W3CDTF">2025-12-12T02:56:14Z</dcterms:created>
  <dcterms:modified xsi:type="dcterms:W3CDTF">2025-12-12T02:56:14Z</dcterms:modified>
</cp:coreProperties>
</file>

<file path=docProps/custom.xml><?xml version="1.0" encoding="utf-8"?>
<Properties xmlns="http://schemas.openxmlformats.org/officeDocument/2006/custom-properties" xmlns:vt="http://schemas.openxmlformats.org/officeDocument/2006/docPropsVTypes"/>
</file>