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Chef</w:t>
      </w:r>
      <w:r>
        <w:t xml:space="preserve"> </w:t>
      </w:r>
      <w:r>
        <w:t xml:space="preserve">|</w:t>
      </w:r>
      <w:r>
        <w:t xml:space="preserve"> </w:t>
      </w:r>
      <w:r>
        <w:t xml:space="preserve">Riyadh,</w:t>
      </w:r>
      <w:r>
        <w:t xml:space="preserve"> </w:t>
      </w:r>
      <w:r>
        <w:t xml:space="preserve">Saudi</w:t>
      </w:r>
      <w:r>
        <w:t xml:space="preserve"> </w:t>
      </w:r>
      <w:r>
        <w:t xml:space="preserve">Arabia</w:t>
      </w:r>
    </w:p>
    <w:bookmarkStart w:id="32" w:name="Xa6ddd04bd0f95befaff7bb6034751c12d3457a8"/>
    <w:p>
      <w:pPr>
        <w:pStyle w:val="Heading1"/>
      </w:pPr>
      <w:r>
        <w:t xml:space="preserve">Comprehensive Sales Performance Report: Chef Restaurant Group in Riyadh, Saudi Arabia</w:t>
      </w:r>
    </w:p>
    <w:bookmarkStart w:id="20" w:name="executive-summary"/>
    <w:p>
      <w:pPr>
        <w:pStyle w:val="Heading2"/>
      </w:pPr>
      <w:r>
        <w:t xml:space="preserve">Executive Summary</w:t>
      </w:r>
    </w:p>
    <w:p>
      <w:pPr>
        <w:pStyle w:val="FirstParagraph"/>
      </w:pPr>
      <w:r>
        <w:t xml:space="preserve">This report details the exceptional sales performance of the renowned "Chef" restaurant group across its flagship locations in Riyadh, Saudi Arabia during Q3 2023. The brand has established itself as a premium dining destination catering to Saudi Arabia's evolving culinary landscape. Despite regional economic fluctuations, Chef achieved a remarkable 18.7% year-over-year sales growth, surpassing all market benchmarks in the Kingdom's capital city. This success underscores our strategic alignment with Riyadh's cultural preferences and the growing demand for authentic yet innovative Middle Eastern cuisine.</w:t>
      </w:r>
    </w:p>
    <w:bookmarkEnd w:id="20"/>
    <w:bookmarkStart w:id="21" w:name="Xd71aaa6352e0b83d266bcfb5500a6af2b7b17f2"/>
    <w:p>
      <w:pPr>
        <w:pStyle w:val="Heading2"/>
      </w:pPr>
      <w:r>
        <w:t xml:space="preserve">Market Context: Riyadh and Saudi Arabia Culinary Evolution</w:t>
      </w:r>
    </w:p>
    <w:p>
      <w:pPr>
        <w:pStyle w:val="FirstParagraph"/>
      </w:pPr>
      <w:r>
        <w:t xml:space="preserve">Riyadh, as the political and economic heart of Saudi Arabia, represents a critical market where dining culture is rapidly transforming. With Vision 2030 driving tourism expansion and domestic consumption, the capital city has seen a 34% increase in restaurant visits since 2021. Chef's strategic positioning within this ecosystem—offering chef-driven menus that blend traditional Saudi flavors with modern culinary techniques—has been pivotal. Our Riyadh locations (Al Olaya, Diplomatic District, and King Abdullah Financial District) now account for 63% of the brand's total sales in Saudi Arabia, demonstrating our regional dominance.</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(SAR)</w:t>
            </w:r>
          </w:p>
        </w:tc>
        <w:tc>
          <w:tcPr/>
          <w:p>
            <w:pPr>
              <w:pStyle w:val="Compact"/>
              <w:jc w:val="left"/>
            </w:pPr>
            <w:r>
              <w:t xml:space="preserve">YoY Change</w:t>
            </w:r>
          </w:p>
        </w:tc>
        <w:tc>
          <w:tcPr/>
          <w:p>
            <w:pPr>
              <w:pStyle w:val="Compact"/>
              <w:jc w:val="left"/>
            </w:pPr>
            <w:r>
              <w:t xml:space="preserve">% of Total Riyadh Sales</w:t>
            </w:r>
          </w:p>
        </w:tc>
      </w:tr>
      <w:tr>
        <w:tc>
          <w:tcPr/>
          <w:p>
            <w:pPr>
              <w:pStyle w:val="Compact"/>
              <w:jc w:val="left"/>
            </w:pPr>
            <w:r>
              <w:t xml:space="preserve">Lunch Service</w:t>
            </w:r>
          </w:p>
        </w:tc>
        <w:tc>
          <w:tcPr/>
          <w:p>
            <w:pPr>
              <w:pStyle w:val="Compact"/>
              <w:jc w:val="left"/>
            </w:pPr>
            <w:r>
              <w:t xml:space="preserve">1,850,000</w:t>
            </w:r>
          </w:p>
        </w:tc>
        <w:tc>
          <w:tcPr/>
          <w:p>
            <w:pPr>
              <w:pStyle w:val="Compact"/>
              <w:jc w:val="left"/>
            </w:pPr>
            <w:r>
              <w:t xml:space="preserve">+22.4%</w:t>
            </w:r>
          </w:p>
        </w:tc>
        <w:tc>
          <w:tcPr/>
          <w:p>
            <w:pPr>
              <w:pStyle w:val="Compact"/>
              <w:jc w:val="left"/>
            </w:pPr>
            <w:r>
              <w:t xml:space="preserve">31.2%</w:t>
            </w:r>
          </w:p>
        </w:tc>
      </w:tr>
      <w:tr>
        <w:tc>
          <w:tcPr/>
          <w:p>
            <w:pPr>
              <w:pStyle w:val="Compact"/>
              <w:jc w:val="left"/>
            </w:pPr>
            <w:r>
              <w:t xml:space="preserve">Dinner Service</w:t>
            </w:r>
          </w:p>
        </w:tc>
        <w:tc>
          <w:tcPr/>
          <w:p>
            <w:pPr>
              <w:pStyle w:val="Compact"/>
              <w:jc w:val="left"/>
            </w:pPr>
            <w:r>
              <w:t xml:space="preserve">3,725,500</w:t>
            </w:r>
          </w:p>
        </w:tc>
        <w:tc>
          <w:tcPr/>
          <w:p>
            <w:pPr>
              <w:pStyle w:val="Compact"/>
              <w:jc w:val="left"/>
            </w:pPr>
            <w:r>
              <w:t xml:space="preserve">+16.8%</w:t>
            </w:r>
          </w:p>
        </w:tc>
        <w:tc>
          <w:tcPr/>
          <w:p>
            <w:pPr>
              <w:pStyle w:val="Compact"/>
              <w:jc w:val="left"/>
            </w:pPr>
            <w:r>
              <w:t xml:space="preserve">62.8%</w:t>
            </w:r>
          </w:p>
        </w:tc>
      </w:tr>
      <w:tr>
        <w:tc>
          <w:tcPr/>
          <w:p>
            <w:pPr>
              <w:pStyle w:val="Compact"/>
              <w:jc w:val="left"/>
            </w:pPr>
            <w:r>
              <w:t xml:space="preserve">Catering &amp; Events</w:t>
            </w:r>
          </w:p>
        </w:tc>
        <w:tc>
          <w:tcPr/>
          <w:p>
            <w:pPr>
              <w:pStyle w:val="Compact"/>
              <w:jc w:val="left"/>
            </w:pPr>
            <w:r>
              <w:t xml:space="preserve">421,300</w:t>
            </w:r>
          </w:p>
        </w:tc>
        <w:tc>
          <w:tcPr/>
          <w:p>
            <w:pPr>
              <w:pStyle w:val="Compact"/>
              <w:jc w:val="left"/>
            </w:pPr>
            <w:r>
              <w:t xml:space="preserve">+9.5%</w:t>
            </w:r>
          </w:p>
        </w:tc>
        <w:tc>
          <w:tcPr/>
          <w:p>
            <w:pPr>
              <w:pStyle w:val="Compact"/>
              <w:jc w:val="left"/>
            </w:pPr>
            <w:r>
              <w:t xml:space="preserve">7.1%</w:t>
            </w:r>
          </w:p>
        </w:tc>
      </w:tr>
      <w:tr>
        <w:tc>
          <w:tcPr/>
          <w:p>
            <w:pPr>
              <w:pStyle w:val="Compact"/>
              <w:jc w:val="left"/>
            </w:pPr>
            <w:r>
              <w:rPr>
                <w:bCs/>
                <w:b/>
              </w:rPr>
              <w:t xml:space="preserve">Total Riyadh Sales</w:t>
            </w:r>
          </w:p>
        </w:tc>
        <w:tc>
          <w:tcPr/>
          <w:p>
            <w:pPr>
              <w:pStyle w:val="Compact"/>
              <w:jc w:val="left"/>
            </w:pPr>
            <w:r>
              <w:rPr>
                <w:bCs/>
                <w:b/>
              </w:rPr>
              <w:t xml:space="preserve">5,996,800</w:t>
            </w:r>
          </w:p>
        </w:tc>
        <w:tc>
          <w:tcPr/>
          <w:p>
            <w:pPr>
              <w:pStyle w:val="Compact"/>
              <w:jc w:val="left"/>
            </w:pPr>
            <w:r>
              <w:rPr>
                <w:bCs/>
                <w:b/>
              </w:rPr>
              <w:t xml:space="preserve">+18.7%</w:t>
            </w:r>
          </w:p>
        </w:tc>
        <w:tc>
          <w:tcPr/>
          <w:p>
            <w:pPr>
              <w:pStyle w:val="Compact"/>
              <w:jc w:val="left"/>
            </w:pPr>
            <w:r>
              <w:rPr>
                <w:bCs/>
                <w:b/>
              </w:rPr>
              <w:t xml:space="preserve">100%</w:t>
            </w:r>
          </w:p>
        </w:tc>
      </w:tr>
    </w:tbl>
    <w:bookmarkEnd w:id="22"/>
    <w:bookmarkStart w:id="26" w:name="key-growth-drivers-in-riyadh-market"/>
    <w:p>
      <w:pPr>
        <w:pStyle w:val="Heading2"/>
      </w:pPr>
      <w:r>
        <w:t xml:space="preserve">Key Growth Drivers in Riyadh Market</w:t>
      </w:r>
    </w:p>
    <w:bookmarkStart w:id="23" w:name="Xe08ecabd4d5b9f8ad40a851e1f57c7c0e5fb430"/>
    <w:p>
      <w:pPr>
        <w:pStyle w:val="Heading3"/>
      </w:pPr>
      <w:r>
        <w:t xml:space="preserve">1. Strategic Alignment with Vision 2030 Initiatives</w:t>
      </w:r>
    </w:p>
    <w:p>
      <w:pPr>
        <w:pStyle w:val="FirstParagraph"/>
      </w:pPr>
      <w:r>
        <w:t xml:space="preserve">Chef's partnership with Riyadh Season and the Kingdom's tourism campaigns has generated significant foot traffic. Our "Saudi Heritage Dining Experience" menu, featuring ingredients sourced from local farms in Al-Qassim and Najd regions, directly supports Vision 2030's national food security goals. This initiative contributed to a 27% increase in premium table bookings during the Eid season.</w:t>
      </w:r>
    </w:p>
    <w:bookmarkEnd w:id="23"/>
    <w:bookmarkStart w:id="24" w:name="customer-demographics-shift"/>
    <w:p>
      <w:pPr>
        <w:pStyle w:val="Heading3"/>
      </w:pPr>
      <w:r>
        <w:t xml:space="preserve">2. Customer Demographics Shift</w:t>
      </w:r>
    </w:p>
    <w:p>
      <w:pPr>
        <w:pStyle w:val="FirstParagraph"/>
      </w:pPr>
      <w:r>
        <w:t xml:space="preserve">Riyadh's millennial population (45% of customers) now drives 68% of sales growth. Chef successfully adapted its digital presence—launching an Arabic-first mobile app with seamless cashless payments and AI-powered menu recommendations—to capture this segment. The app's adoption rate reached 72% among new customers, significantly boosting repeat visits.</w:t>
      </w:r>
    </w:p>
    <w:bookmarkEnd w:id="24"/>
    <w:bookmarkStart w:id="25" w:name="premiumization-trend"/>
    <w:p>
      <w:pPr>
        <w:pStyle w:val="Heading3"/>
      </w:pPr>
      <w:r>
        <w:t xml:space="preserve">3. Premiumization Trend</w:t>
      </w:r>
    </w:p>
    <w:p>
      <w:pPr>
        <w:pStyle w:val="FirstParagraph"/>
      </w:pPr>
      <w:r>
        <w:t xml:space="preserve">The luxury dining market in Riyadh grew by 19% YoY (source: Saudi Ministry of Commerce). Chef capitalized on this through our "Chef's Table" private dining experience (starting at SAR 2,500 per person), which achieved 98% occupancy during Q3. This premium offering now accounts for 14.3% of total Riyadh revenue.</w:t>
      </w:r>
    </w:p>
    <w:bookmarkEnd w:id="25"/>
    <w:bookmarkEnd w:id="26"/>
    <w:bookmarkStart w:id="27" w:name="Xec18610356f1349c880cdcd690badd36ffadaf8"/>
    <w:p>
      <w:pPr>
        <w:pStyle w:val="Heading2"/>
      </w:pPr>
      <w:r>
        <w:t xml:space="preserve">Competitive Differentiation in Saudi Arabia</w:t>
      </w:r>
    </w:p>
    <w:p>
      <w:pPr>
        <w:pStyle w:val="FirstParagraph"/>
      </w:pPr>
      <w:r>
        <w:t xml:space="preserve">Unlike competitors focusing solely on international cuisine, Chef's authentic Saudi fusion menu—featuring dishes like "Machboos with Date Syrup Reduction" and "Ousha Biryani"—resonates deeply with local sensibilities. In a recent customer satisfaction survey across Riyadh (N=1,200), 89% of respondents cited cultural authenticity as the primary reason for choosing Chef over alternatives. This stands in contrast to the industry average of 67% for similar establishments.</w:t>
      </w:r>
    </w:p>
    <w:bookmarkEnd w:id="27"/>
    <w:bookmarkStart w:id="28" w:name="challenges-and-mitigation-strategies"/>
    <w:p>
      <w:pPr>
        <w:pStyle w:val="Heading2"/>
      </w:pPr>
      <w:r>
        <w:t xml:space="preserve">Challenges and Mitigation Strategies</w:t>
      </w:r>
    </w:p>
    <w:p>
      <w:pPr>
        <w:pStyle w:val="FirstParagraph"/>
      </w:pPr>
      <w:r>
        <w:t xml:space="preserve">Supply chain volatility during Ramadan posed temporary challenges, with ingredient costs rising 12%. However, our partnership with Saudi-based agri-tech firm "Saudifood" ensured stable sourcing of key ingredients like saffron and camel milk. Additionally, we implemented dynamic pricing for off-peak hours (4-6 PM) to optimize table turnover during peak demand seasons.</w:t>
      </w:r>
    </w:p>
    <w:bookmarkEnd w:id="28"/>
    <w:bookmarkStart w:id="29" w:name="future-growth-opportunities-in-riyadh"/>
    <w:p>
      <w:pPr>
        <w:pStyle w:val="Heading2"/>
      </w:pPr>
      <w:r>
        <w:t xml:space="preserve">Future Growth Opportunities in Riyadh</w:t>
      </w:r>
    </w:p>
    <w:p>
      <w:pPr>
        <w:numPr>
          <w:ilvl w:val="0"/>
          <w:numId w:val="1001"/>
        </w:numPr>
        <w:pStyle w:val="Compact"/>
      </w:pPr>
      <w:r>
        <w:rPr>
          <w:bCs/>
          <w:b/>
        </w:rPr>
        <w:t xml:space="preserve">Expansion into New Premium Neighborhoods:</w:t>
      </w:r>
      <w:r>
        <w:t xml:space="preserve"> </w:t>
      </w:r>
      <w:r>
        <w:t xml:space="preserve">Targeting emerging districts like King Abdullah Economic City and Boulevard 3000 where high-net-worth individuals are concentrated.</w:t>
      </w:r>
    </w:p>
    <w:p>
      <w:pPr>
        <w:numPr>
          <w:ilvl w:val="0"/>
          <w:numId w:val="1001"/>
        </w:numPr>
        <w:pStyle w:val="Compact"/>
      </w:pPr>
      <w:r>
        <w:rPr>
          <w:bCs/>
          <w:b/>
        </w:rPr>
        <w:t xml:space="preserve">Cultural Immersion Events:</w:t>
      </w:r>
      <w:r>
        <w:t xml:space="preserve"> </w:t>
      </w:r>
      <w:r>
        <w:t xml:space="preserve">Launching monthly "Chef's Kitchen" workshops teaching traditional Saudi cooking techniques, directly supporting Vision 2030's cultural preservation objectives.</w:t>
      </w:r>
    </w:p>
    <w:p>
      <w:pPr>
        <w:numPr>
          <w:ilvl w:val="0"/>
          <w:numId w:val="1001"/>
        </w:numPr>
        <w:pStyle w:val="Compact"/>
      </w:pPr>
      <w:r>
        <w:rPr>
          <w:bCs/>
          <w:b/>
        </w:rPr>
        <w:t xml:space="preserve">Digital-First Loyalty Program:</w:t>
      </w:r>
      <w:r>
        <w:t xml:space="preserve"> </w:t>
      </w:r>
      <w:r>
        <w:t xml:space="preserve">Developing a tiered rewards system integrated with Saudi Arabia's Tamara platform to leverage the Kingdom's digital transformation momentum.</w:t>
      </w:r>
    </w:p>
    <w:bookmarkEnd w:id="29"/>
    <w:bookmarkStart w:id="30" w:name="recommendations-for-continued-success"/>
    <w:p>
      <w:pPr>
        <w:pStyle w:val="Heading2"/>
      </w:pPr>
      <w:r>
        <w:t xml:space="preserve">Recommendations for Continued Success</w:t>
      </w:r>
    </w:p>
    <w:p>
      <w:pPr>
        <w:pStyle w:val="FirstParagraph"/>
      </w:pPr>
      <w:r>
        <w:t xml:space="preserve">Based on Q3 performance, we recommend:</w:t>
      </w:r>
    </w:p>
    <w:p>
      <w:pPr>
        <w:numPr>
          <w:ilvl w:val="0"/>
          <w:numId w:val="1002"/>
        </w:numPr>
        <w:pStyle w:val="Compact"/>
      </w:pPr>
      <w:r>
        <w:t xml:space="preserve">Increasing investment in Riyadh-specific marketing (35% of total ad spend) focusing on local influencers and community events</w:t>
      </w:r>
    </w:p>
    <w:p>
      <w:pPr>
        <w:numPr>
          <w:ilvl w:val="0"/>
          <w:numId w:val="1002"/>
        </w:numPr>
        <w:pStyle w:val="Compact"/>
      </w:pPr>
      <w:r>
        <w:t xml:space="preserve">Launching a Ramadan-focused menu featuring 100% Saudi-sourced ingredients by Q4 2023</w:t>
      </w:r>
    </w:p>
    <w:p>
      <w:pPr>
        <w:numPr>
          <w:ilvl w:val="0"/>
          <w:numId w:val="1002"/>
        </w:numPr>
        <w:pStyle w:val="Compact"/>
      </w:pPr>
      <w:r>
        <w:t xml:space="preserve">Expanding the catering division to target corporate clients across Riyadh's financial district, where demand is growing at 25% YoY</w:t>
      </w:r>
    </w:p>
    <w:bookmarkEnd w:id="30"/>
    <w:bookmarkStart w:id="31" w:name="conclusion"/>
    <w:p>
      <w:pPr>
        <w:pStyle w:val="Heading2"/>
      </w:pPr>
      <w:r>
        <w:t xml:space="preserve">Conclusion</w:t>
      </w:r>
    </w:p>
    <w:p>
      <w:pPr>
        <w:pStyle w:val="FirstParagraph"/>
      </w:pPr>
      <w:r>
        <w:t xml:space="preserve">The Chef brand has not only established itself as a market leader in Riyadh but has become an integral part of Saudi Arabia's culinary renaissance. Our Q3 results demonstrate that authentic cultural relevance combined with premium service delivery generates sustainable growth in this dynamic market. By doubling down on local partnerships and embracing Vision 2030's principles, Chef is positioned to capture even greater market share across Saudi Arabia Riyadh while maintaining the highest standards of quality and hospitality.</w:t>
      </w:r>
    </w:p>
    <w:p>
      <w:pPr>
        <w:pStyle w:val="BodyText"/>
      </w:pPr>
      <w:r>
        <w:t xml:space="preserve">As we move into Q4, the focus will remain on scaling our successful Riyadh model across other Kingdom cities while continuously innovating our menu to reflect Saudi Arabia's rich gastronomic heritage. This report confirms that Chef isn't just serving meals—we're crafting experiences that honor the heart of Saudi dining culture.</w:t>
      </w:r>
    </w:p>
    <w:p>
      <w:pPr>
        <w:pStyle w:val="BodyText"/>
      </w:pPr>
      <w:r>
        <w:rPr>
          <w:bCs/>
          <w:b/>
        </w:rPr>
        <w:t xml:space="preserve">Prepared by:</w:t>
      </w:r>
      <w:r>
        <w:t xml:space="preserve"> </w:t>
      </w:r>
      <w:r>
        <w:t xml:space="preserve">Executive Sales Team</w:t>
      </w:r>
      <w:r>
        <w:br/>
      </w:r>
      <w:r>
        <w:rPr>
          <w:bCs/>
          <w:b/>
        </w:rPr>
        <w:t xml:space="preserve">Date:</w:t>
      </w:r>
      <w:r>
        <w:t xml:space="preserve"> </w:t>
      </w:r>
      <w:r>
        <w:t xml:space="preserve">October 26, 2023</w:t>
      </w:r>
      <w:r>
        <w:br/>
      </w:r>
      <w:r>
        <w:rPr>
          <w:bCs/>
          <w:b/>
        </w:rPr>
        <w:t xml:space="preserve">For:</w:t>
      </w:r>
      <w:r>
        <w:t xml:space="preserve"> </w:t>
      </w:r>
      <w:r>
        <w:t xml:space="preserve">Chef Group Board of Directors &amp; Vision 2030 Development Committee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Chef | Riyadh, Saudi Arabia</dc:title>
  <dc:creator/>
  <dc:language>en</dc:language>
  <cp:keywords/>
  <dcterms:created xsi:type="dcterms:W3CDTF">2026-07-21T00:56:28Z</dcterms:created>
  <dcterms:modified xsi:type="dcterms:W3CDTF">2026-07-21T00:56:28Z</dcterms:modified>
</cp:coreProperties>
</file>

<file path=docProps/custom.xml><?xml version="1.0" encoding="utf-8"?>
<Properties xmlns="http://schemas.openxmlformats.org/officeDocument/2006/custom-properties" xmlns:vt="http://schemas.openxmlformats.org/officeDocument/2006/docPropsVTypes"/>
</file>