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Chef</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1" w:name="X0913fca045f85ca5ad8348212eb2f09cc290d80"/>
    <w:p>
      <w:pPr>
        <w:pStyle w:val="Heading1"/>
      </w:pPr>
      <w:r>
        <w:t xml:space="preserve">ANNUAL SALES REPORT: CHEF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outstanding performance of Chef across the Singapore Singapore market in the fiscal year 2023. As a leading culinary technology provider specializing in cloud-based kitchen management solutions, Chef has achieved remarkable growth within Singapore's dynamic foodservice ecosystem. The report confirms that our strategic focus on localized service delivery and innovative product adaptation has positioned Chef as a market leader, with revenue growth of 47% year-over-year in Singapore Singapore. This success underscores our commitment to delivering exceptional value to restaurants, hotels, and culinary enterprises across the island nation.</w:t>
      </w:r>
    </w:p>
    <w:bookmarkEnd w:id="20"/>
    <w:bookmarkStart w:id="21" w:name="X3f40b242ec6a72d396dd2954d809b131949c355"/>
    <w:p>
      <w:pPr>
        <w:pStyle w:val="Heading2"/>
      </w:pPr>
      <w:r>
        <w:t xml:space="preserve">II. Market Context: Singapore Singapore as a Strategic Hub</w:t>
      </w:r>
    </w:p>
    <w:p>
      <w:pPr>
        <w:pStyle w:val="FirstParagraph"/>
      </w:pPr>
      <w:r>
        <w:t xml:space="preserve">Singapore continues to solidify its position as Southeast Asia's premier culinary capital, with over 14,000 food establishments generating S$38 billion in annual revenue. The government's "Food from the Heart" initiative and strong hospitality sector recovery post-pandemic have created unprecedented demand for operational efficiency solutions. In this context, Chef has capitalized on Singapore Singapore's unique market dynamics by tailoring our platform to address local pain points—particularly food cost management in high-rent environments and compliance with Singapore Food Agency (SFA) regulations. Our localized implementation team in Marina Bay has been instrumental in navigating the nuances of operating within Singapore Singapore's competitive landscape.</w:t>
      </w:r>
    </w:p>
    <w:bookmarkEnd w:id="21"/>
    <w:bookmarkStart w:id="22" w:name="iii.-key-sales-performance-metrics"/>
    <w:p>
      <w:pPr>
        <w:pStyle w:val="Heading2"/>
      </w:pPr>
      <w:r>
        <w:t xml:space="preserve">III. Key Sales Performance Metrics</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YoY Change</w:t>
      </w:r>
    </w:p>
    <w:p>
      <w:pPr>
        <w:pStyle w:val="BodyText"/>
      </w:pPr>
      <w:r>
        <w:t xml:space="preserve">Total Revenue (SGD)</w:t>
      </w:r>
    </w:p>
    <w:p>
      <w:pPr>
        <w:pStyle w:val="BodyText"/>
      </w:pPr>
      <w:r>
        <w:t xml:space="preserve">S$1.85M</w:t>
      </w:r>
    </w:p>
    <w:p>
      <w:pPr>
        <w:pStyle w:val="BodyText"/>
      </w:pPr>
      <w:r>
        <w:t xml:space="preserve">S$3.47M</w:t>
      </w:r>
    </w:p>
    <w:p>
      <w:pPr>
        <w:pStyle w:val="BodyText"/>
      </w:pPr>
      <w:r>
        <w:t xml:space="preserve">+87%</w:t>
      </w:r>
    </w:p>
    <w:p>
      <w:pPr>
        <w:pStyle w:val="BodyText"/>
      </w:pPr>
      <w:r>
        <w:t xml:space="preserve">New Client Acquisitions</w:t>
      </w:r>
    </w:p>
    <w:p>
      <w:pPr>
        <w:pStyle w:val="BodyText"/>
      </w:pPr>
      <w:r>
        <w:t xml:space="preserve">22</w:t>
      </w:r>
    </w:p>
    <w:p>
      <w:pPr>
        <w:pStyle w:val="BodyText"/>
      </w:pPr>
      <w:r>
        <w:rPr>
          <w:bCs/>
          <w:b/>
        </w:rPr>
        <w:t xml:space="preserve">63</w:t>
      </w:r>
    </w:p>
    <w:p>
      <w:pPr>
        <w:pStyle w:val="BodyText"/>
      </w:pPr>
      <w:r>
        <w:t xml:space="preserve">Cross-Sell Rate to Existing Clients</w:t>
      </w:r>
    </w:p>
    <w:p>
      <w:pPr>
        <w:pStyle w:val="BodyText"/>
      </w:pPr>
      <w:r>
        <w:t xml:space="preserve">&lt; td&gt;18%</w:t>
      </w:r>
    </w:p>
    <w:p>
      <w:pPr>
        <w:pStyle w:val="BodyText"/>
      </w:pPr>
      <w:r>
        <w:t xml:space="preserve">The Q4 2023 surge reflects a 41% quarterly growth rate, driven by our partnership with Singapore's top hospitality groups. Chef's solution has been adopted by 78% of the island's "Food &amp; Beverage Innovation Award" finalists, demonstrating market validation. Notable wins include the Marina Bay Sands Group (implementing Chef for all their 35 F&amp;B outlets), Lianhe Dining Group (42 restaurants across Singapore), and Michelin-starred establishments like Odette and Burnt Ends.</w:t>
      </w:r>
    </w:p>
    <w:bookmarkEnd w:id="22"/>
    <w:bookmarkStart w:id="23" w:name="Xbbe3629df2ed8a5aaf7ff1ed765b92d09737db2"/>
    <w:p>
      <w:pPr>
        <w:pStyle w:val="Heading2"/>
      </w:pPr>
      <w:r>
        <w:t xml:space="preserve">IV. Regional Performance Breakdown: Singapore Singapore Focus</w:t>
      </w:r>
    </w:p>
    <w:p>
      <w:pPr>
        <w:pStyle w:val="FirstParagraph"/>
      </w:pPr>
      <w:r>
        <w:t xml:space="preserve">Within Singapore Singapore, we've observed distinct regional performance patterns that guided our sales strategy:</w:t>
      </w:r>
    </w:p>
    <w:p>
      <w:pPr>
        <w:numPr>
          <w:ilvl w:val="0"/>
          <w:numId w:val="1001"/>
        </w:numPr>
        <w:pStyle w:val="Compact"/>
      </w:pPr>
      <w:r>
        <w:rPr>
          <w:bCs/>
          <w:b/>
        </w:rPr>
        <w:t xml:space="preserve">Central Business District (CBD):</w:t>
      </w:r>
      <w:r>
        <w:t xml:space="preserve"> </w:t>
      </w:r>
      <w:r>
        <w:t xml:space="preserve">35% of total revenue from luxury hotels and fine-dining establishments. Key account wins included The Fullerton Hotel and Raffles Restaurant Group. Sales team leveraged Singapore Singapore's high-value customer base to secure premium contracts averaging S$120K annually.</w:t>
      </w:r>
    </w:p>
    <w:p>
      <w:pPr>
        <w:numPr>
          <w:ilvl w:val="0"/>
          <w:numId w:val="1001"/>
        </w:numPr>
        <w:pStyle w:val="Compact"/>
      </w:pPr>
      <w:r>
        <w:rPr>
          <w:bCs/>
          <w:b/>
        </w:rPr>
        <w:t xml:space="preserve">Residential Hubs (Tampines, Jurong East):</w:t>
      </w:r>
      <w:r>
        <w:t xml:space="preserve"> </w:t>
      </w:r>
      <w:r>
        <w:t xml:space="preserve">45% growth in mid-market restaurants. Our "Chef Lite" subscription model successfully penetrated the 500+ hawker centers and neighborhood eateries through targeted partnerships with Singapore Food Agency-certified food safety trainers.</w:t>
      </w:r>
    </w:p>
    <w:p>
      <w:pPr>
        <w:numPr>
          <w:ilvl w:val="0"/>
          <w:numId w:val="1001"/>
        </w:numPr>
        <w:pStyle w:val="Compact"/>
      </w:pPr>
      <w:r>
        <w:rPr>
          <w:bCs/>
          <w:b/>
        </w:rPr>
        <w:t xml:space="preserve">Sentosa &amp; Resorts:</w:t>
      </w:r>
      <w:r>
        <w:t xml:space="preserve"> </w:t>
      </w:r>
      <w:r>
        <w:t xml:space="preserve">22% revenue share from integrated resorts. The "Chef Connect" mobile app—optimized for island-wide operations—became the preferred solution for 87% of Sentosa F&amp;B operators after a successful pilot at Universal Studios Singapore.</w:t>
      </w:r>
    </w:p>
    <w:bookmarkEnd w:id="23"/>
    <w:bookmarkStart w:id="27" w:name="X5863fdf201ecf2c3cc7a73eec6c8570f76de9c4"/>
    <w:p>
      <w:pPr>
        <w:pStyle w:val="Heading2"/>
      </w:pPr>
      <w:r>
        <w:t xml:space="preserve">V. Customer Success Stories: Chef in Action</w:t>
      </w:r>
    </w:p>
    <w:p>
      <w:pPr>
        <w:pStyle w:val="FirstParagraph"/>
      </w:pPr>
      <w:r>
        <w:t xml:space="preserve">Three case studies exemplify Chef's impact within Singapore Singapore:</w:t>
      </w:r>
    </w:p>
    <w:bookmarkStart w:id="24" w:name="a.-le-meridien-singapore-marina-bay"/>
    <w:p>
      <w:pPr>
        <w:pStyle w:val="Heading3"/>
      </w:pPr>
      <w:r>
        <w:t xml:space="preserve">A. Le Meridien Singapore (Marina Bay)</w:t>
      </w:r>
    </w:p>
    <w:p>
      <w:pPr>
        <w:pStyle w:val="FirstParagraph"/>
      </w:pPr>
      <w:r>
        <w:t xml:space="preserve">"Chef reduced our inventory waste by 31% and cut food cost reporting time from 10 hours to 45 minutes daily," stated Chef de Cuisine, Mr. Tan Wei Long. The solution's integration with Singapore's GST system eliminated manual data entry, accelerating compliance with SFA audit requirements.</w:t>
      </w:r>
    </w:p>
    <w:bookmarkEnd w:id="24"/>
    <w:bookmarkStart w:id="25" w:name="Xbc36d4651a5e926c38735f52d110fc02c5c3d03"/>
    <w:p>
      <w:pPr>
        <w:pStyle w:val="Heading3"/>
      </w:pPr>
      <w:r>
        <w:t xml:space="preserve">B. Hawker Centre Modernization Project (Tiong Bahru)</w:t>
      </w:r>
    </w:p>
    <w:p>
      <w:pPr>
        <w:pStyle w:val="FirstParagraph"/>
      </w:pPr>
      <w:r>
        <w:t xml:space="preserve">As part of the "Hawker 2.0" initiative, Chef deployed our cloud platform across 17 hawker stalls, enabling real-time menu cost tracking during Singapore Singapore's peak tourist seasons. This resulted in a 24% average revenue increase per stall and earned recognition from the National Environment Agency (NEA).</w:t>
      </w:r>
    </w:p>
    <w:bookmarkEnd w:id="25"/>
    <w:bookmarkStart w:id="26" w:name="Xa4e5b30dc63e9ff06c54f6dc7d92e361e4d2972"/>
    <w:p>
      <w:pPr>
        <w:pStyle w:val="Heading3"/>
      </w:pPr>
      <w:r>
        <w:t xml:space="preserve">C. New Launch: Chef Academy for Singapore Chefs</w:t>
      </w:r>
    </w:p>
    <w:p>
      <w:pPr>
        <w:pStyle w:val="FirstParagraph"/>
      </w:pPr>
      <w:r>
        <w:t xml:space="preserve">In Q3 2023, we launched "Chef Academy," a free digital training portal co-developed with Singapore Polytechnic. This initiative reached 1,400 culinary students and contributed to a 19% uptick in enterprise sales among new restaurant startups in Singapore Singapore.</w:t>
      </w:r>
    </w:p>
    <w:bookmarkEnd w:id="26"/>
    <w:bookmarkEnd w:id="27"/>
    <w:bookmarkStart w:id="28" w:name="vi.-challenges-strategic-responses"/>
    <w:p>
      <w:pPr>
        <w:pStyle w:val="Heading2"/>
      </w:pPr>
      <w:r>
        <w:t xml:space="preserve">VI. Challenges &amp; Strategic Responses</w:t>
      </w:r>
    </w:p>
    <w:p>
      <w:pPr>
        <w:pStyle w:val="FirstParagraph"/>
      </w:pPr>
      <w:r>
        <w:t xml:space="preserve">While market adoption was strong, we encountered two key challenges specific to Singapore Singapore:</w:t>
      </w:r>
    </w:p>
    <w:p>
      <w:pPr>
        <w:numPr>
          <w:ilvl w:val="0"/>
          <w:numId w:val="1002"/>
        </w:numPr>
        <w:pStyle w:val="Compact"/>
      </w:pPr>
      <w:r>
        <w:rPr>
          <w:bCs/>
          <w:b/>
        </w:rPr>
        <w:t xml:space="preserve">Localization Requirements:</w:t>
      </w:r>
      <w:r>
        <w:t xml:space="preserve"> </w:t>
      </w:r>
      <w:r>
        <w:t xml:space="preserve">Initial resistance from traditional kitchens due to language preferences. *Response:* Developed a Singlish-optimized user interface with localized terminology (e.g., "kopi" instead of "coffee") and hired bilingual account managers based in Singapore Singapore.</w:t>
      </w:r>
    </w:p>
    <w:p>
      <w:pPr>
        <w:numPr>
          <w:ilvl w:val="0"/>
          <w:numId w:val="1002"/>
        </w:numPr>
        <w:pStyle w:val="Compact"/>
      </w:pPr>
      <w:r>
        <w:rPr>
          <w:bCs/>
          <w:b/>
        </w:rPr>
        <w:t xml:space="preserve">Competitive Pressure:</w:t>
      </w:r>
      <w:r>
        <w:t xml:space="preserve"> </w:t>
      </w:r>
      <w:r>
        <w:t xml:space="preserve">Local startup "FoodFlow" aggressively undercut pricing. *Response:* Launched the tiered "Singapore Chef Advantage" package—combining our core platform with free government grant application support, securing 73% of price-sensitive clients.</w:t>
      </w:r>
    </w:p>
    <w:bookmarkEnd w:id="28"/>
    <w:bookmarkStart w:id="29" w:name="Xd783cc08ca63e4eaa76f6a2898ac353fd6f0a24"/>
    <w:p>
      <w:pPr>
        <w:pStyle w:val="Heading2"/>
      </w:pPr>
      <w:r>
        <w:t xml:space="preserve">VII. Future Outlook: Chef in Singapore Singapore</w:t>
      </w:r>
    </w:p>
    <w:p>
      <w:pPr>
        <w:pStyle w:val="FirstParagraph"/>
      </w:pPr>
      <w:r>
        <w:t xml:space="preserve">Our growth trajectory in Singapore Singapore remains exceptionally strong. For 2024, we project a minimum 60% revenue increase driven by:</w:t>
      </w:r>
    </w:p>
    <w:p>
      <w:pPr>
        <w:numPr>
          <w:ilvl w:val="0"/>
          <w:numId w:val="1003"/>
        </w:numPr>
        <w:pStyle w:val="Compact"/>
      </w:pPr>
      <w:r>
        <w:t xml:space="preserve">Partnership with Enterprise Singapore to offer Chef solutions through their "Foodpreneur" startup accelerator</w:t>
      </w:r>
    </w:p>
    <w:p>
      <w:pPr>
        <w:numPr>
          <w:ilvl w:val="0"/>
          <w:numId w:val="1003"/>
        </w:numPr>
        <w:pStyle w:val="Compact"/>
      </w:pPr>
      <w:r>
        <w:t xml:space="preserve">Expansion into the emerging "cloud kitchen" sector (37 new facilities launched in Singapore Singapore since Jan 2023)</w:t>
      </w:r>
    </w:p>
    <w:p>
      <w:pPr>
        <w:numPr>
          <w:ilvl w:val="0"/>
          <w:numId w:val="1003"/>
        </w:numPr>
        <w:pStyle w:val="Compact"/>
      </w:pPr>
      <w:r>
        <w:t xml:space="preserve">Integration with SingapoRE's Smart Nation sensors for real-time food safety monitoring</w:t>
      </w:r>
    </w:p>
    <w:p>
      <w:pPr>
        <w:pStyle w:val="FirstParagraph"/>
      </w:pPr>
      <w:r>
        <w:t xml:space="preserve">Singapore Singapore's vision for a "Digital Culinary Ecosystem" aligns perfectly with Chef's mission. We've already been selected as the technology partner for the upcoming "Singapore Food Tech Festival" in March 2024, which will showcase our solutions to 5,000+ industry stakeholders across Southeast Asia.</w:t>
      </w:r>
    </w:p>
    <w:bookmarkEnd w:id="29"/>
    <w:bookmarkStart w:id="30" w:name="viii.-conclusion"/>
    <w:p>
      <w:pPr>
        <w:pStyle w:val="Heading2"/>
      </w:pPr>
      <w:r>
        <w:t xml:space="preserve">VIII. Conclusion</w:t>
      </w:r>
    </w:p>
    <w:p>
      <w:pPr>
        <w:pStyle w:val="FirstParagraph"/>
      </w:pPr>
      <w:r>
        <w:t xml:space="preserve">This Sales Report unequivocally demonstrates Chef's transformative impact in Singapore Singapore. Our revenue growth outpaces the regional market average by 3.2x, with client retention at 94%—the highest in our global operations. The strategic investment in a dedicated Singapore Singapore delivery center has proven critical to navigating local regulations and cultural nuances. As Chef continues to evolve alongside Singapore's culinary renaissance, we remain committed to being the indispensable technology partner for every chef who calls Singapore home. The future of foodservice innovation is being written in the kitchens of Singapore Singapore—and Chef is at the forefront.</w:t>
      </w:r>
    </w:p>
    <w:p>
      <w:pPr>
        <w:pStyle w:val="BodyText"/>
      </w:pPr>
      <w:r>
        <w:rPr>
          <w:bCs/>
          <w:b/>
        </w:rPr>
        <w:t xml:space="preserve">Prepared by:</w:t>
      </w:r>
      <w:r>
        <w:t xml:space="preserve"> </w:t>
      </w:r>
      <w:r>
        <w:t xml:space="preserve">Global Sales Strategy Team |</w:t>
      </w:r>
      <w:r>
        <w:t xml:space="preserve"> </w:t>
      </w:r>
      <w:r>
        <w:rPr>
          <w:bCs/>
          <w:b/>
        </w:rPr>
        <w:t xml:space="preserve">Contact:</w:t>
      </w:r>
      <w:r>
        <w:t xml:space="preserve"> </w:t>
      </w:r>
      <w:r>
        <w:t xml:space="preserve">sales@chef.com.sg</w:t>
      </w:r>
    </w:p>
    <w:p>
      <w:pPr>
        <w:pStyle w:val="BodyText"/>
      </w:pPr>
      <w:r>
        <w:rPr>
          <w:iCs/>
          <w:i/>
        </w:rPr>
        <w:t xml:space="preserve">This Sales Report constitutes confidential commercial information.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Chef Performance in Singapore Singapore</dc:title>
  <dc:creator/>
  <dc:language>en</dc:language>
  <cp:keywords/>
  <dcterms:created xsi:type="dcterms:W3CDTF">2026-07-21T14:36:19Z</dcterms:created>
  <dcterms:modified xsi:type="dcterms:W3CDTF">2026-07-21T14:36:19Z</dcterms:modified>
</cp:coreProperties>
</file>

<file path=docProps/custom.xml><?xml version="1.0" encoding="utf-8"?>
<Properties xmlns="http://schemas.openxmlformats.org/officeDocument/2006/custom-properties" xmlns:vt="http://schemas.openxmlformats.org/officeDocument/2006/docPropsVTypes"/>
</file>