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p>
    <w:bookmarkStart w:id="26" w:name="X6377bde74229b3feabd01a606e29d84ae2db2f4"/>
    <w:p>
      <w:pPr>
        <w:pStyle w:val="Heading1"/>
      </w:pPr>
      <w:r>
        <w:t xml:space="preserve">Comprehensive Sales Report: Chef Culinary Experience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Chef Group Holdings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exceptional sales performance of the Chef brand across all London operations within the United Kingdom market. In Q3 2023, Chef achieved a remarkable</w:t>
      </w:r>
      <w:r>
        <w:t xml:space="preserve"> </w:t>
      </w:r>
      <w:r>
        <w:rPr>
          <w:bCs/>
          <w:b/>
        </w:rPr>
        <w:t xml:space="preserve">18.7% year-over-year revenue growth</w:t>
      </w:r>
      <w:r>
        <w:t xml:space="preserve">, reaching £4.2 million in gross sales from 14 flagship locations throughout Greater London. This outperforms both the UK hospitality sector average (5.2%) and our own Q3 2022 performance by 13 percentage points, establishing Chef as the dominant culinary authority in London's competitive dining landscape. The success is directly attributable to our refined menu innovation, premium customer experience standards, and strategic London-specific marketing initiatives.</w:t>
      </w:r>
    </w:p>
    <w:bookmarkEnd w:id="20"/>
    <w:bookmarkStart w:id="21" w:name="ii.-london-sales-performance-breakdown"/>
    <w:p>
      <w:pPr>
        <w:pStyle w:val="Heading2"/>
      </w:pPr>
      <w:r>
        <w:t xml:space="preserve">II. London Sales Performance Breakdown</w:t>
      </w:r>
    </w:p>
    <w:p>
      <w:pPr>
        <w:pStyle w:val="FirstParagraph"/>
      </w:pPr>
      <w:r>
        <w:t xml:space="preserve">London operations represent 78% of Chef Group's total UK revenue, underscoring the city's critical importance to our national strategy. Key metrics for Q3 include:</w:t>
      </w:r>
    </w:p>
    <w:p>
      <w:pPr>
        <w:numPr>
          <w:ilvl w:val="0"/>
          <w:numId w:val="1001"/>
        </w:numPr>
        <w:pStyle w:val="Compact"/>
      </w:pPr>
      <w:r>
        <w:rPr>
          <w:bCs/>
          <w:b/>
        </w:rPr>
        <w:t xml:space="preserve">Revenue Growth:</w:t>
      </w:r>
      <w:r>
        <w:t xml:space="preserve"> </w:t>
      </w:r>
      <w:r>
        <w:t xml:space="preserve">£4.2M (+18.7% YoY) - driven by 27% increase in table turnover at central London locations</w:t>
      </w:r>
    </w:p>
    <w:p>
      <w:pPr>
        <w:numPr>
          <w:ilvl w:val="0"/>
          <w:numId w:val="1001"/>
        </w:numPr>
        <w:pStyle w:val="Compact"/>
      </w:pPr>
      <w:r>
        <w:rPr>
          <w:bCs/>
          <w:b/>
        </w:rPr>
        <w:t xml:space="preserve">Average Spend per Cover:</w:t>
      </w:r>
      <w:r>
        <w:t xml:space="preserve"> </w:t>
      </w:r>
      <w:r>
        <w:t xml:space="preserve">£58.30 (up 9.4% from Q3 2022)</w:t>
      </w:r>
    </w:p>
    <w:p>
      <w:pPr>
        <w:numPr>
          <w:ilvl w:val="0"/>
          <w:numId w:val="1001"/>
        </w:numPr>
        <w:pStyle w:val="Compact"/>
      </w:pPr>
      <w:r>
        <w:rPr>
          <w:bCs/>
          <w:b/>
        </w:rPr>
        <w:t xml:space="preserve">Repeat Customer Rate:</w:t>
      </w:r>
      <w:r>
        <w:t xml:space="preserve"> </w:t>
      </w:r>
      <w:r>
        <w:t xml:space="preserve">64% (London-specific loyalty program data)</w:t>
      </w:r>
    </w:p>
    <w:p>
      <w:pPr>
        <w:numPr>
          <w:ilvl w:val="0"/>
          <w:numId w:val="1001"/>
        </w:numPr>
        <w:pStyle w:val="Compact"/>
      </w:pPr>
      <w:r>
        <w:rPr>
          <w:bCs/>
          <w:b/>
        </w:rPr>
        <w:t xml:space="preserve">Dine-In vs. Delivery Split:</w:t>
      </w:r>
      <w:r>
        <w:t xml:space="preserve"> </w:t>
      </w:r>
      <w:r>
        <w:t xml:space="preserve">Dine-in: 71%, Delivery: 19%, Catering: 10%</w:t>
      </w:r>
    </w:p>
    <w:p>
      <w:pPr>
        <w:pStyle w:val="FirstParagraph"/>
      </w:pPr>
      <w:r>
        <w:t xml:space="preserve">The strongest performing locations were our Mayfair flagship (Q3 revenue £824K), Borough Market concept (£672K), and the new Soho outlet launched in June (achieving profitability in month two). The Southwark site showed exceptional growth (+31% YoY) due to targeted corporate dining partnerships with London-based fintech firms.</w:t>
      </w:r>
    </w:p>
    <w:bookmarkEnd w:id="21"/>
    <w:bookmarkStart w:id="22" w:name="X53d2afc33247121852ace32420eabd08795cac1"/>
    <w:p>
      <w:pPr>
        <w:pStyle w:val="Heading2"/>
      </w:pPr>
      <w:r>
        <w:t xml:space="preserve">III. Market Analysis: Why Chef Succeeds in London</w:t>
      </w:r>
    </w:p>
    <w:p>
      <w:pPr>
        <w:pStyle w:val="FirstParagraph"/>
      </w:pPr>
      <w:r>
        <w:t xml:space="preserve">London's unique hospitality ecosystem demands exceptional differentiation, which Chef delivers through three strategic pillars:</w:t>
      </w:r>
    </w:p>
    <w:p>
      <w:pPr>
        <w:numPr>
          <w:ilvl w:val="0"/>
          <w:numId w:val="1002"/>
        </w:numPr>
        <w:pStyle w:val="Compact"/>
      </w:pPr>
      <w:r>
        <w:rPr>
          <w:bCs/>
          <w:b/>
        </w:rPr>
        <w:t xml:space="preserve">Cultural Resonance:</w:t>
      </w:r>
      <w:r>
        <w:t xml:space="preserve"> </w:t>
      </w:r>
      <w:r>
        <w:t xml:space="preserve">Our "British-Global Fusion" menu (featuring locally sourced ingredients from Kent and Suffolk) directly caters to London's multicultural palate. The "Londoner's Lunch" promotion targeting City workers achieved 42% market share in the £30-£45 lunch segment.</w:t>
      </w:r>
    </w:p>
    <w:p>
      <w:pPr>
        <w:numPr>
          <w:ilvl w:val="0"/>
          <w:numId w:val="1002"/>
        </w:numPr>
        <w:pStyle w:val="Compact"/>
      </w:pPr>
      <w:r>
        <w:rPr>
          <w:bCs/>
          <w:b/>
        </w:rPr>
        <w:t xml:space="preserve">Location Intelligence:</w:t>
      </w:r>
      <w:r>
        <w:t xml:space="preserve"> </w:t>
      </w:r>
      <w:r>
        <w:t xml:space="preserve">All 14 sites strategically positioned within walkable proximity to major business hubs (Canary Wharf, Square Mile) and tourist corridors (Covent Garden, South Bank). The Westminster location saw a 29% increase in sales following the recent relocation of its entrance from Parliament Street to Victoria Street.</w:t>
      </w:r>
    </w:p>
    <w:p>
      <w:pPr>
        <w:numPr>
          <w:ilvl w:val="0"/>
          <w:numId w:val="1002"/>
        </w:numPr>
        <w:pStyle w:val="Compact"/>
      </w:pPr>
      <w:r>
        <w:rPr>
          <w:bCs/>
          <w:b/>
        </w:rPr>
        <w:t xml:space="preserve">Experiential Premiumization:</w:t>
      </w:r>
      <w:r>
        <w:t xml:space="preserve"> </w:t>
      </w:r>
      <w:r>
        <w:t xml:space="preserve">London customers actively pay premium pricing for our "Chef's Table" immersive experiences. These premium dining events generated £186K in Q3 alone (up 22% YoY), representing 4.4% of total revenue despite being available only at 3 locations.</w:t>
      </w:r>
    </w:p>
    <w:bookmarkEnd w:id="22"/>
    <w:bookmarkStart w:id="23" w:name="X0e7b0b66bd0adea4bee7e52de2a1a6ea2fe536a"/>
    <w:p>
      <w:pPr>
        <w:pStyle w:val="Heading2"/>
      </w:pPr>
      <w:r>
        <w:t xml:space="preserve">IV. Competitive Benchmarking Against London Hospitality Sector</w:t>
      </w:r>
    </w:p>
    <w:p>
      <w:pPr>
        <w:pStyle w:val="FirstParagraph"/>
      </w:pPr>
      <w:r>
        <w:t xml:space="preserve">Compared to key competitors operating in London, Chef demonstrates superior performance metrics:</w:t>
      </w:r>
    </w:p>
    <w:p>
      <w:pPr>
        <w:pStyle w:val="BodyText"/>
      </w:pPr>
      <w:r>
        <w:t xml:space="preserve">Performance Metric</w:t>
      </w:r>
    </w:p>
    <w:p>
      <w:pPr>
        <w:pStyle w:val="BodyText"/>
      </w:pPr>
      <w:r>
        <w:t xml:space="preserve">Chef Group (London)</w:t>
      </w:r>
    </w:p>
    <w:p>
      <w:pPr>
        <w:pStyle w:val="BodyText"/>
      </w:pPr>
      <w:r>
        <w:t xml:space="preserve">Industry Average (London)</w:t>
      </w:r>
    </w:p>
    <w:p>
      <w:pPr>
        <w:pStyle w:val="BodyText"/>
      </w:pPr>
      <w:r>
        <w:t xml:space="preserve">Competitor A</w:t>
      </w:r>
    </w:p>
    <w:p>
      <w:pPr>
        <w:pStyle w:val="BodyText"/>
      </w:pPr>
      <w:r>
        <w:t xml:space="preserve">Revenue Growth (YoY)</w:t>
      </w:r>
    </w:p>
    <w:p>
      <w:pPr>
        <w:pStyle w:val="BodyText"/>
      </w:pPr>
      <w:r>
        <w:t xml:space="preserve">+18.7%</w:t>
      </w:r>
    </w:p>
    <w:p>
      <w:pPr>
        <w:pStyle w:val="BodyText"/>
      </w:pPr>
      <w:r>
        <w:t xml:space="preserve">+5.2%</w:t>
      </w:r>
    </w:p>
    <w:p>
      <w:pPr>
        <w:pStyle w:val="BodyText"/>
      </w:pPr>
      <w:r>
        <w:t xml:space="preserve">+3.1%</w:t>
      </w:r>
    </w:p>
    <w:p>
      <w:pPr>
        <w:pStyle w:val="BodyText"/>
      </w:pPr>
      <w:r>
        <w:t xml:space="preserve">Customer Retention Rate</w:t>
      </w:r>
    </w:p>
    <w:p>
      <w:pPr>
        <w:pStyle w:val="BodyText"/>
      </w:pPr>
      <w:r>
        <w:t xml:space="preserve">64%</w:t>
      </w:r>
    </w:p>
    <w:p>
      <w:pPr>
        <w:pStyle w:val="BodyText"/>
      </w:pPr>
      <w:r>
        <w:t xml:space="preserve">&lt;</w:t>
      </w:r>
    </w:p>
    <w:p>
      <w:pPr>
        <w:pStyle w:val="BodyText"/>
      </w:pPr>
      <w:r>
        <w:t xml:space="preserve">42%</w:t>
      </w:r>
    </w:p>
    <w:p>
      <w:pPr>
        <w:pStyle w:val="BodyText"/>
      </w:pPr>
      <w:r>
        <w:t xml:space="preserve">Average Check Size</w:t>
      </w:r>
    </w:p>
    <w:p>
      <w:pPr>
        <w:pStyle w:val="BodyText"/>
      </w:pPr>
      <w:r>
        <w:t xml:space="preserve">£58.30</w:t>
      </w:r>
    </w:p>
    <w:p>
      <w:pPr>
        <w:pStyle w:val="BodyText"/>
      </w:pPr>
      <w:r>
        <w:t xml:space="preserve">£49.10</w:t>
      </w:r>
    </w:p>
    <w:p>
      <w:pPr>
        <w:pStyle w:val="BodyText"/>
      </w:pPr>
      <w:r>
        <w:t xml:space="preserve">Lunch Service Occupancy Rate</w:t>
      </w:r>
    </w:p>
    <w:p>
      <w:pPr>
        <w:pStyle w:val="BodyText"/>
      </w:pPr>
      <w:r>
        <w:t xml:space="preserve">86%</w:t>
      </w:r>
    </w:p>
    <w:p>
      <w:pPr>
        <w:pStyle w:val="BodyText"/>
      </w:pPr>
      <w:r>
        <w:t xml:space="preserve">72%</w:t>
      </w:r>
    </w:p>
    <w:p>
      <w:pPr>
        <w:pStyle w:val="BodyText"/>
      </w:pPr>
      <w:r>
        <w:t xml:space="preserve">Chef's 22 percentage point advantage in retention rate demonstrates our exceptional customer loyalty program, which leverages London-specific partnerships with transport networks (Oyster Card integration) and premium venues (The Shard, Royal Albert Hall).</w:t>
      </w:r>
    </w:p>
    <w:bookmarkEnd w:id="23"/>
    <w:bookmarkStart w:id="24" w:name="X90c09a9e1e16be1ffe87d086bcc4b9caa07e3a6"/>
    <w:p>
      <w:pPr>
        <w:pStyle w:val="Heading2"/>
      </w:pPr>
      <w:r>
        <w:t xml:space="preserve">V. Key Challenges &amp; Strategic Opportunities</w:t>
      </w:r>
    </w:p>
    <w:p>
      <w:pPr>
        <w:pStyle w:val="FirstParagraph"/>
      </w:pPr>
      <w:r>
        <w:t xml:space="preserve">Despite strong performance, three critical challenges require focused attention for sustained success in the United Kingdom London market:</w:t>
      </w:r>
    </w:p>
    <w:p>
      <w:pPr>
        <w:numPr>
          <w:ilvl w:val="0"/>
          <w:numId w:val="1003"/>
        </w:numPr>
        <w:pStyle w:val="Compact"/>
      </w:pPr>
      <w:r>
        <w:rPr>
          <w:bCs/>
          <w:b/>
        </w:rPr>
        <w:t xml:space="preserve">Labour Market Pressures:</w:t>
      </w:r>
      <w:r>
        <w:t xml:space="preserve"> </w:t>
      </w:r>
      <w:r>
        <w:t xml:space="preserve">London hospitality sector faces 14% annual staff turnover. Chef has implemented our "Culinary Apprenticeship Program" with City Colleges, reducing kitchen staff turnover by 28% in Q3.</w:t>
      </w:r>
    </w:p>
    <w:p>
      <w:pPr>
        <w:numPr>
          <w:ilvl w:val="0"/>
          <w:numId w:val="1003"/>
        </w:numPr>
        <w:pStyle w:val="Compact"/>
      </w:pPr>
      <w:r>
        <w:rPr>
          <w:bCs/>
          <w:b/>
        </w:rPr>
        <w:t xml:space="preserve">Regulatory Compliance:</w:t>
      </w:r>
      <w:r>
        <w:t xml:space="preserve"> </w:t>
      </w:r>
      <w:r>
        <w:t xml:space="preserve">New London Mayor's "Eco-Dining" regulations require sustainable sourcing. Chef achieved 100% compliance through our partnership with the London Food Partnership, enhancing our brand reputation.</w:t>
      </w:r>
    </w:p>
    <w:p>
      <w:pPr>
        <w:numPr>
          <w:ilvl w:val="0"/>
          <w:numId w:val="1003"/>
        </w:numPr>
        <w:pStyle w:val="Compact"/>
      </w:pPr>
      <w:r>
        <w:rPr>
          <w:bCs/>
          <w:b/>
        </w:rPr>
        <w:t xml:space="preserve">Competitor Response:</w:t>
      </w:r>
      <w:r>
        <w:t xml:space="preserve"> </w:t>
      </w:r>
      <w:r>
        <w:t xml:space="preserve">High-end rivals like "Le Gourmet" have launched similar premium experiences. Our response includes accelerated development of exclusive London-only menu items featuring hyper-local ingredients (e.g., "Thames Valley Lamb" from Surrey farms).</w:t>
      </w:r>
    </w:p>
    <w:p>
      <w:pPr>
        <w:pStyle w:val="FirstParagraph"/>
      </w:pPr>
      <w:r>
        <w:t xml:space="preserve">Opportunities identified for Q4 2023 include:</w:t>
      </w:r>
    </w:p>
    <w:p>
      <w:pPr>
        <w:numPr>
          <w:ilvl w:val="0"/>
          <w:numId w:val="1004"/>
        </w:numPr>
        <w:pStyle w:val="Compact"/>
      </w:pPr>
      <w:r>
        <w:t xml:space="preserve">Leveraging London's tourism surge post-Brexit (1.7M visitors in Q3) with "Chef City Pass" partnerships</w:t>
      </w:r>
    </w:p>
    <w:p>
      <w:pPr>
        <w:numPr>
          <w:ilvl w:val="0"/>
          <w:numId w:val="1004"/>
        </w:numPr>
        <w:pStyle w:val="Compact"/>
      </w:pPr>
      <w:r>
        <w:t xml:space="preserve">Expanding corporate dining contracts with London's top 50 FTSE companies</w:t>
      </w:r>
    </w:p>
    <w:p>
      <w:pPr>
        <w:numPr>
          <w:ilvl w:val="0"/>
          <w:numId w:val="1004"/>
        </w:numPr>
        <w:pStyle w:val="Compact"/>
      </w:pPr>
      <w:r>
        <w:t xml:space="preserve">Introducing seasonal "London Heritage Menus" celebrating the city's culinary history (e.g., Victorian-era recipes)</w:t>
      </w:r>
    </w:p>
    <w:bookmarkEnd w:id="24"/>
    <w:bookmarkStart w:id="25" w:name="vi.-conclusion-strategic-recommendations"/>
    <w:p>
      <w:pPr>
        <w:pStyle w:val="Heading2"/>
      </w:pPr>
      <w:r>
        <w:t xml:space="preserve">VI. Conclusion &amp; Strategic Recommendations</w:t>
      </w:r>
    </w:p>
    <w:p>
      <w:pPr>
        <w:pStyle w:val="FirstParagraph"/>
      </w:pPr>
      <w:r>
        <w:t xml:space="preserve">The Q3 sales performance confirms that Chef has achieved market leadership status in United Kingdom London through exceptional product differentiation and hyper-localized customer engagement. Our data demonstrates that London's dining consumers actively seek the unique value proposition Chef delivers – premium quality, cultural relevance, and seamless urban integration.</w:t>
      </w:r>
    </w:p>
    <w:p>
      <w:pPr>
        <w:pStyle w:val="BodyText"/>
      </w:pPr>
      <w:r>
        <w:t xml:space="preserve">For continued growth in this critical market, we recommend:</w:t>
      </w:r>
    </w:p>
    <w:p>
      <w:pPr>
        <w:numPr>
          <w:ilvl w:val="0"/>
          <w:numId w:val="1005"/>
        </w:numPr>
        <w:pStyle w:val="Compact"/>
      </w:pPr>
      <w:r>
        <w:rPr>
          <w:bCs/>
          <w:b/>
        </w:rPr>
        <w:t xml:space="preserve">Accelerate London-Specific Menu Development:</w:t>
      </w:r>
      <w:r>
        <w:t xml:space="preserve"> </w:t>
      </w:r>
      <w:r>
        <w:t xml:space="preserve">Dedicate 25% of R&amp;D budget to London-exclusive dishes (e.g., "Regent Street Caviar" using locally farmed sturgeon)</w:t>
      </w:r>
    </w:p>
    <w:p>
      <w:pPr>
        <w:numPr>
          <w:ilvl w:val="0"/>
          <w:numId w:val="1005"/>
        </w:numPr>
        <w:pStyle w:val="Compact"/>
      </w:pPr>
      <w:r>
        <w:rPr>
          <w:bCs/>
          <w:b/>
        </w:rPr>
        <w:t xml:space="preserve">Expand Corporate Partnerships:</w:t>
      </w:r>
      <w:r>
        <w:t xml:space="preserve"> </w:t>
      </w:r>
      <w:r>
        <w:t xml:space="preserve">Target 15 new major London firms for dedicated Chef catering contracts by Q1 2024</w:t>
      </w:r>
    </w:p>
    <w:p>
      <w:pPr>
        <w:numPr>
          <w:ilvl w:val="0"/>
          <w:numId w:val="1005"/>
        </w:numPr>
        <w:pStyle w:val="Compact"/>
      </w:pPr>
      <w:r>
        <w:rPr>
          <w:bCs/>
          <w:b/>
        </w:rPr>
        <w:t xml:space="preserve">Enhance Digital London Experience:</w:t>
      </w:r>
      <w:r>
        <w:t xml:space="preserve"> </w:t>
      </w:r>
      <w:r>
        <w:t xml:space="preserve">Launch "ChefLondon" app with real-time table availability at all 14 locations and integrated transport planning</w:t>
      </w:r>
    </w:p>
    <w:p>
      <w:pPr>
        <w:pStyle w:val="FirstParagraph"/>
      </w:pPr>
      <w:r>
        <w:t xml:space="preserve">Chef's performance in United Kingdom London is not merely strong – it represents a paradigm shift in premium casual dining. With 63% of our London customers traveling from outside the immediate borough, the Chef brand has successfully transcended geographic boundaries to become a cultural touchstone for London's vibrant food scene. The strategic focus on local authenticity while maintaining global culinary standards positions Chef for sustained market leadership across the United Kingdom and beyond.</w:t>
      </w:r>
    </w:p>
    <w:p>
      <w:pPr>
        <w:pStyle w:val="BodyText"/>
      </w:pPr>
      <w:r>
        <w:rPr>
          <w:bCs/>
          <w:b/>
        </w:rPr>
        <w:t xml:space="preserve">Prepared by:</w:t>
      </w:r>
      <w:r>
        <w:t xml:space="preserve"> </w:t>
      </w:r>
      <w:r>
        <w:t xml:space="preserve">Sales Intelligence Division, Chef Group Holdings</w:t>
      </w:r>
      <w:r>
        <w:br/>
      </w:r>
      <w:r>
        <w:rPr>
          <w:bCs/>
          <w:b/>
        </w:rPr>
        <w:t xml:space="preserve">Contact:</w:t>
      </w:r>
      <w:r>
        <w:t xml:space="preserve"> </w:t>
      </w:r>
      <w:r>
        <w:t xml:space="preserve">sales.reports@chef.co.uk | +44 20 7123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Sales Report: Chef Culinary Excellence</dc:title>
  <dc:creator/>
  <dc:language>en</dc:language>
  <cp:keywords/>
  <dcterms:created xsi:type="dcterms:W3CDTF">2026-06-03T06:54:32Z</dcterms:created>
  <dcterms:modified xsi:type="dcterms:W3CDTF">2026-06-03T06:54:32Z</dcterms:modified>
</cp:coreProperties>
</file>

<file path=docProps/custom.xml><?xml version="1.0" encoding="utf-8"?>
<Properties xmlns="http://schemas.openxmlformats.org/officeDocument/2006/custom-properties" xmlns:vt="http://schemas.openxmlformats.org/officeDocument/2006/docPropsVTypes"/>
</file>