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Operations</w:t>
      </w:r>
      <w:r>
        <w:t xml:space="preserve"> </w:t>
      </w:r>
      <w:r>
        <w:t xml:space="preserve">in</w:t>
      </w:r>
      <w:r>
        <w:t xml:space="preserve"> </w:t>
      </w:r>
      <w:r>
        <w:t xml:space="preserve">Uzbekistan</w:t>
      </w:r>
      <w:r>
        <w:t xml:space="preserve"> </w:t>
      </w:r>
      <w:r>
        <w:t xml:space="preserve">Tashkent</w:t>
      </w:r>
    </w:p>
    <w:bookmarkStart w:id="27" w:name="X7f5f3a8a8d011a9fcd6baccbf4e0fb6ce3730c7"/>
    <w:p>
      <w:pPr>
        <w:pStyle w:val="Heading1"/>
      </w:pPr>
      <w:r>
        <w:t xml:space="preserve">Comprehensive Sales Report: Chef Brand Performance in Uzbekistan Tashkent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Committee</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operational and commercial performance of the Chef brand across Uzbekistan Tashkent during Q3 2023. The report confirms significant market penetration gains, with Chef establishing itself as a premium kitchenware solution provider in Central Asia's most dynamic urban center. Despite regional economic fluctuations, our Tashkent operations achieved a remarkable 38% year-over-year sales growth, outpacing local competitors by 25 percentage points. This success underscores the strategic importance of Uzbekistan Tashkent as Chef's flagship market in the CIS region.</w:t>
      </w:r>
    </w:p>
    <w:bookmarkEnd w:id="20"/>
    <w:bookmarkStart w:id="21" w:name="Xac9995e46311eb5634837c8d5315a765d529155"/>
    <w:p>
      <w:pPr>
        <w:pStyle w:val="Heading2"/>
      </w:pPr>
      <w:r>
        <w:t xml:space="preserve">II. Market Context: Chef in Uzbekistan Tashkent</w:t>
      </w:r>
    </w:p>
    <w:p>
      <w:pPr>
        <w:pStyle w:val="FirstParagraph"/>
      </w:pPr>
      <w:r>
        <w:t xml:space="preserve">Uzbekistan Tashkent represents a critical growth frontier for international kitchenware brands. With over 3 million residents and rapidly rising disposable income, Tashkent has evolved into Central Asia's culinary capital, featuring over 15,000 restaurants and a burgeoning home-cooking market. Chef entered this landscape in early 2022 with localized product lines (including heat-resistant cookware sets designed for traditional Uzbek tandoor cooking) and strategic partnerships with leading retailers like "Bazar" and "Silk Road Market." Our Sales Report confirms that Chef's cultural adaptation—incorporating native motifs into packaging and offering language-specific customer support—is a core driver of our Tashkent success.</w:t>
      </w:r>
    </w:p>
    <w:bookmarkEnd w:id="21"/>
    <w:bookmarkStart w:id="22" w:name="X651d7e53ff188993097a57dbe7898dae7deebf5"/>
    <w:p>
      <w:pPr>
        <w:pStyle w:val="Heading2"/>
      </w:pPr>
      <w:r>
        <w:t xml:space="preserve">III. Q3 2023 Sales Performance Highlights</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(USD)</w:t>
      </w:r>
    </w:p>
    <w:p>
      <w:pPr>
        <w:pStyle w:val="BodyText"/>
      </w:pPr>
      <w:r>
        <w:t xml:space="preserve">$1,850,000</w:t>
      </w:r>
    </w:p>
    <w:p>
      <w:pPr>
        <w:pStyle w:val="BodyText"/>
      </w:pPr>
      <w:r>
        <w:t xml:space="preserve">$1,341,000</w:t>
      </w:r>
    </w:p>
    <w:p>
      <w:pPr>
        <w:pStyle w:val="BodyText"/>
      </w:pPr>
      <w:r>
        <w:t xml:space="preserve">+38.0%</w:t>
      </w:r>
    </w:p>
    <w:p>
      <w:pPr>
        <w:pStyle w:val="BodyText"/>
      </w:pPr>
      <w:r>
        <w:t xml:space="preserve">Unit Sales</w:t>
      </w:r>
    </w:p>
    <w:p>
      <w:pPr>
        <w:pStyle w:val="BodyText"/>
      </w:pPr>
      <w:r>
        <w:t xml:space="preserve">24,652 units</w:t>
      </w:r>
    </w:p>
    <w:p>
      <w:pPr>
        <w:pStyle w:val="BodyText"/>
      </w:pPr>
      <w:r>
        <w:t xml:space="preserve">17,897 units</w:t>
      </w:r>
    </w:p>
    <w:p>
      <w:pPr>
        <w:pStyle w:val="BodyText"/>
      </w:pPr>
      <w:r>
        <w:t xml:space="preserve">+37.8%</w:t>
      </w:r>
    </w:p>
    <w:p>
      <w:pPr>
        <w:pStyle w:val="BodyText"/>
      </w:pPr>
      <w:r>
        <w:t xml:space="preserve">New Customer Acquisition</w:t>
      </w:r>
    </w:p>
    <w:p>
      <w:pPr>
        <w:pStyle w:val="BodyText"/>
      </w:pPr>
      <w:r>
        <w:t xml:space="preserve">8,400 customers</w:t>
      </w:r>
    </w:p>
    <w:p>
      <w:pPr>
        <w:pStyle w:val="BodyText"/>
      </w:pPr>
      <w:r>
        <w:t xml:space="preserve">5,620 customers</w:t>
      </w:r>
    </w:p>
    <w:p>
      <w:pPr>
        <w:pStyle w:val="BodyText"/>
      </w:pPr>
      <w:r>
        <w:t xml:space="preserve">+50.3%</w:t>
      </w:r>
    </w:p>
    <w:p>
      <w:pPr>
        <w:pStyle w:val="BodyText"/>
      </w:pPr>
      <w:r>
        <w:t xml:space="preserve">Average Transaction Value (USD)</w:t>
      </w:r>
    </w:p>
    <w:p>
      <w:pPr>
        <w:pStyle w:val="BodyText"/>
      </w:pPr>
      <w:r>
        <w:t xml:space="preserve">$75.12</w:t>
      </w:r>
    </w:p>
    <w:p>
      <w:pPr>
        <w:pStyle w:val="BodyText"/>
      </w:pPr>
      <w:r>
        <w:t xml:space="preserve">$69.83</w:t>
      </w:r>
    </w:p>
    <w:p>
      <w:pPr>
        <w:pStyle w:val="BodyText"/>
      </w:pPr>
      <w:r>
        <w:t xml:space="preserve">+7.6%</w:t>
      </w:r>
    </w:p>
    <w:p>
      <w:pPr>
        <w:pStyle w:val="BodyText"/>
      </w:pPr>
      <w:r>
        <w:t xml:space="preserve">Notable achievements include:</w:t>
      </w:r>
    </w:p>
    <w:p>
      <w:pPr>
        <w:numPr>
          <w:ilvl w:val="0"/>
          <w:numId w:val="1001"/>
        </w:numPr>
        <w:pStyle w:val="Compact"/>
      </w:pPr>
      <w:r>
        <w:t xml:space="preserve">First-time entry into Tashkent's top 3 restaurant supply chains through partnerships with "Oshon" and "Nasaf Hotels"</w:t>
      </w:r>
    </w:p>
    <w:p>
      <w:pPr>
        <w:numPr>
          <w:ilvl w:val="0"/>
          <w:numId w:val="1001"/>
        </w:numPr>
        <w:pStyle w:val="Compact"/>
      </w:pPr>
      <w:r>
        <w:t xml:space="preserve">42% of sales now coming from B2B channels (hotels, restaurants, catering services) versus 28% in Q3 2022</w:t>
      </w:r>
    </w:p>
    <w:p>
      <w:pPr>
        <w:numPr>
          <w:ilvl w:val="0"/>
          <w:numId w:val="1001"/>
        </w:numPr>
        <w:pStyle w:val="Compact"/>
      </w:pPr>
      <w:r>
        <w:t xml:space="preserve">57% of customer acquisition through digital channels (Chef Uzbekistan Instagram &amp; TikTok campaigns)</w:t>
      </w:r>
    </w:p>
    <w:bookmarkEnd w:id="22"/>
    <w:bookmarkStart w:id="23" w:name="Xe16f072adfb40c6a5ad0e05ca1a87aa0fe98073"/>
    <w:p>
      <w:pPr>
        <w:pStyle w:val="Heading2"/>
      </w:pPr>
      <w:r>
        <w:t xml:space="preserve">IV. Strategic Initiatives Driving Success in Tashkent</w:t>
      </w:r>
    </w:p>
    <w:p>
      <w:pPr>
        <w:pStyle w:val="FirstParagraph"/>
      </w:pPr>
      <w:r>
        <w:t xml:space="preserve">The Chef Sales Report attributes our growth to three key initiatives:</w:t>
      </w:r>
    </w:p>
    <w:p>
      <w:pPr>
        <w:numPr>
          <w:ilvl w:val="0"/>
          <w:numId w:val="1002"/>
        </w:numPr>
        <w:pStyle w:val="Compact"/>
      </w:pPr>
      <w:r>
        <w:rPr>
          <w:bCs/>
          <w:b/>
        </w:rPr>
        <w:t xml:space="preserve">Cultural Integration:</w:t>
      </w:r>
      <w:r>
        <w:t xml:space="preserve"> </w:t>
      </w:r>
      <w:r>
        <w:t xml:space="preserve">Co-developing product lines with local chefs at Tashkent's Culinary Institute, resulting in the "Samarkand Collection" (non-stick pans with Uzbek turquoise patterns) which captured 22% of premium segment sales.</w:t>
      </w:r>
    </w:p>
    <w:p>
      <w:pPr>
        <w:numPr>
          <w:ilvl w:val="0"/>
          <w:numId w:val="1002"/>
        </w:numPr>
        <w:pStyle w:val="Compact"/>
      </w:pPr>
      <w:r>
        <w:rPr>
          <w:bCs/>
          <w:b/>
        </w:rPr>
        <w:t xml:space="preserve">Localized Distribution:</w:t>
      </w:r>
      <w:r>
        <w:t xml:space="preserve"> </w:t>
      </w:r>
      <w:r>
        <w:t xml:space="preserve">Establishing a dedicated warehouse in Tashkent's Chilanzar district, reducing delivery times from 72 to 18 hours and enabling same-day B2B deliveries to all city districts.</w:t>
      </w:r>
    </w:p>
    <w:p>
      <w:pPr>
        <w:numPr>
          <w:ilvl w:val="0"/>
          <w:numId w:val="1002"/>
        </w:numPr>
        <w:pStyle w:val="Compact"/>
      </w:pPr>
      <w:r>
        <w:rPr>
          <w:bCs/>
          <w:b/>
        </w:rPr>
        <w:t xml:space="preserve">Digital Engagement:</w:t>
      </w:r>
      <w:r>
        <w:t xml:space="preserve"> </w:t>
      </w:r>
      <w:r>
        <w:t xml:space="preserve">Launching Uzbek-language chatbot support (available via WhatsApp) that resolved 68% of customer queries within minutes, significantly improving post-purchase satisfaction scores.</w:t>
      </w:r>
    </w:p>
    <w:bookmarkEnd w:id="23"/>
    <w:bookmarkStart w:id="24" w:name="v.-challenges-and-mitigation-strategies"/>
    <w:p>
      <w:pPr>
        <w:pStyle w:val="Heading2"/>
      </w:pPr>
      <w:r>
        <w:t xml:space="preserve">V. Challenges and Mitigation Strategies</w:t>
      </w:r>
    </w:p>
    <w:p>
      <w:pPr>
        <w:pStyle w:val="FirstParagraph"/>
      </w:pPr>
      <w:r>
        <w:t xml:space="preserve">The Sales Report acknowledges two primary challenges in Uzbekistan Tashkent:</w:t>
      </w:r>
    </w:p>
    <w:p>
      <w:pPr>
        <w:numPr>
          <w:ilvl w:val="0"/>
          <w:numId w:val="1003"/>
        </w:numPr>
        <w:pStyle w:val="Compact"/>
      </w:pPr>
      <w:r>
        <w:rPr>
          <w:iCs/>
          <w:i/>
        </w:rPr>
        <w:t xml:space="preserve">Supply Chain Volatility:</w:t>
      </w:r>
      <w:r>
        <w:t xml:space="preserve"> </w:t>
      </w:r>
      <w:r>
        <w:t xml:space="preserve">Tariff fluctuations on imported stainless steel components caused 12% cost increases. Mitigated through strategic stockpiling during Q1 2023 and switching to locally sourced materials for non-critical components.</w:t>
      </w:r>
    </w:p>
    <w:p>
      <w:pPr>
        <w:numPr>
          <w:ilvl w:val="0"/>
          <w:numId w:val="1003"/>
        </w:numPr>
        <w:pStyle w:val="Compact"/>
      </w:pPr>
      <w:r>
        <w:rPr>
          <w:iCs/>
          <w:i/>
        </w:rPr>
        <w:t xml:space="preserve">Cultural Misalignment Risk:</w:t>
      </w:r>
      <w:r>
        <w:t xml:space="preserve"> </w:t>
      </w:r>
      <w:r>
        <w:t xml:space="preserve">Early marketing campaigns failed to resonate due to Western-centric imagery. Corrected by partnering with Tashkent influencers like "Uzbek Chef" (@OshKorov) for authentic recipe content, increasing social media engagement by 210%.</w:t>
      </w:r>
    </w:p>
    <w:bookmarkEnd w:id="24"/>
    <w:bookmarkStart w:id="25" w:name="X5235336203cddf1d79bf24f3dcc46ed0e114917"/>
    <w:p>
      <w:pPr>
        <w:pStyle w:val="Heading2"/>
      </w:pPr>
      <w:r>
        <w:t xml:space="preserve">VI. Future Outlook: Chef's Roadmap for Uzbekistan Tashkent</w:t>
      </w:r>
    </w:p>
    <w:p>
      <w:pPr>
        <w:pStyle w:val="FirstParagraph"/>
      </w:pPr>
      <w:r>
        <w:t xml:space="preserve">Based on Q3 performance, the Sales Report recommends:</w:t>
      </w:r>
    </w:p>
    <w:p>
      <w:pPr>
        <w:numPr>
          <w:ilvl w:val="0"/>
          <w:numId w:val="1004"/>
        </w:numPr>
        <w:pStyle w:val="Compact"/>
      </w:pPr>
      <w:r>
        <w:rPr>
          <w:bCs/>
          <w:b/>
        </w:rPr>
        <w:t xml:space="preserve">Expansion into Regional Markets:</w:t>
      </w:r>
      <w:r>
        <w:t xml:space="preserve"> </w:t>
      </w:r>
      <w:r>
        <w:t xml:space="preserve">Using Tashkent as a base to enter Kazakhstan and Kyrgyzstan by Q1 2024. Current Tashkent operations generate $580K in monthly revenue—providing ideal capital for regional scaling.</w:t>
      </w:r>
    </w:p>
    <w:p>
      <w:pPr>
        <w:numPr>
          <w:ilvl w:val="0"/>
          <w:numId w:val="1004"/>
        </w:numPr>
        <w:pStyle w:val="Compact"/>
      </w:pPr>
      <w:r>
        <w:rPr>
          <w:bCs/>
          <w:b/>
        </w:rPr>
        <w:t xml:space="preserve">Product Innovation:</w:t>
      </w:r>
      <w:r>
        <w:t xml:space="preserve"> </w:t>
      </w:r>
      <w:r>
        <w:t xml:space="preserve">Developing "Tandoor-Ready" cookware series specifically engineered for Uzbek traditional ovens, with R&amp;D investment increasing by 18% in Q4 2023.</w:t>
      </w:r>
    </w:p>
    <w:p>
      <w:pPr>
        <w:numPr>
          <w:ilvl w:val="0"/>
          <w:numId w:val="1004"/>
        </w:numPr>
        <w:pStyle w:val="Compact"/>
      </w:pPr>
      <w:r>
        <w:rPr>
          <w:bCs/>
          <w:b/>
        </w:rPr>
        <w:t xml:space="preserve">Sustainability Focus:</w:t>
      </w:r>
      <w:r>
        <w:t xml:space="preserve"> </w:t>
      </w:r>
      <w:r>
        <w:t xml:space="preserve">Launching a recycling program for Chef products across Tashkent by November 2023, addressing growing local environmental consciousness (76% of customers now prioritize eco-friendly brands per our Q3 survey).</w:t>
      </w:r>
    </w:p>
    <w:bookmarkEnd w:id="25"/>
    <w:bookmarkStart w:id="26" w:name="Xf6e806cc5fc976e8d996f4114970bec558100ee"/>
    <w:p>
      <w:pPr>
        <w:pStyle w:val="Heading2"/>
      </w:pPr>
      <w:r>
        <w:t xml:space="preserve">VII. Conclusion: The Chef Advantage in Uzbekistan Tashkent</w:t>
      </w:r>
    </w:p>
    <w:p>
      <w:pPr>
        <w:pStyle w:val="FirstParagraph"/>
      </w:pPr>
      <w:r>
        <w:t xml:space="preserve">This comprehensive Sales Report confirms that Chef has successfully transformed from an international brand into a local market leader in Uzbekistan Tashkent. Our 38% revenue growth and leadership in both B2B (47% share of commercial kitchenware sales) and retail segments demonstrate the viability of culturally attuned global branding. As Uzbekistan's economy continues its rapid transformation—Tashkent alone grows at 5.8% annually—the Chef brand is uniquely positioned to capitalize on this culinary renaissance.</w:t>
      </w:r>
    </w:p>
    <w:p>
      <w:pPr>
        <w:pStyle w:val="BodyText"/>
      </w:pPr>
      <w:r>
        <w:t xml:space="preserve">Going forward, we will maintain our Tashkent-centric strategy while scaling operations across Central Asia. The success in Uzbekistan Tashkent provides the blueprint for all future markets: deep cultural understanding, localized solutions, and agile adaptation. As emphasized throughout this Sales Report, Chef's commitment to Uzbekistan's culinary community—evidenced by our sponsorship of the Tashkent International Food Festival 2023—is not just business strategy but fundamental to our brand identity.</w:t>
      </w:r>
    </w:p>
    <w:p>
      <w:pPr>
        <w:pStyle w:val="BodyText"/>
      </w:pPr>
      <w:r>
        <w:rPr>
          <w:bCs/>
          <w:b/>
        </w:rPr>
        <w:t xml:space="preserve">Prepared By:</w:t>
      </w:r>
      <w:r>
        <w:t xml:space="preserve"> </w:t>
      </w:r>
      <w:r>
        <w:t xml:space="preserve">Asia Pacific Sales Team</w:t>
      </w:r>
      <w:r>
        <w:br/>
      </w:r>
      <w:r>
        <w:rPr>
          <w:bCs/>
          <w:b/>
        </w:rPr>
        <w:t xml:space="preserve">Contact:</w:t>
      </w:r>
      <w:r>
        <w:t xml:space="preserve"> </w:t>
      </w:r>
      <w:r>
        <w:t xml:space="preserve">tashkent.sales@chef-global.com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Operations in Uzbekistan Tashkent</dc:title>
  <dc:creator/>
  <dc:language>en</dc:language>
  <cp:keywords/>
  <dcterms:created xsi:type="dcterms:W3CDTF">2026-07-23T12:50:45Z</dcterms:created>
  <dcterms:modified xsi:type="dcterms:W3CDTF">2026-07-23T12:50:45Z</dcterms:modified>
</cp:coreProperties>
</file>

<file path=docProps/custom.xml><?xml version="1.0" encoding="utf-8"?>
<Properties xmlns="http://schemas.openxmlformats.org/officeDocument/2006/custom-properties" xmlns:vt="http://schemas.openxmlformats.org/officeDocument/2006/docPropsVTypes"/>
</file>