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Australia</w:t>
      </w:r>
      <w:r>
        <w:t xml:space="preserve"> </w:t>
      </w:r>
      <w:r>
        <w:t xml:space="preserve">Melbourne</w:t>
      </w:r>
      <w:r>
        <w:t xml:space="preserve"> </w:t>
      </w:r>
      <w:r>
        <w:t xml:space="preserve">Chemical</w:t>
      </w:r>
      <w:r>
        <w:t xml:space="preserve"> </w:t>
      </w:r>
      <w:r>
        <w:t xml:space="preserve">Engineer</w:t>
      </w:r>
      <w:r>
        <w:t xml:space="preserve"> </w:t>
      </w:r>
      <w:r>
        <w:t xml:space="preserve">Sales</w:t>
      </w:r>
      <w:r>
        <w:t xml:space="preserve"> </w:t>
      </w:r>
      <w:r>
        <w:t xml:space="preserve">Report</w:t>
      </w:r>
    </w:p>
    <w:bookmarkStart w:id="30" w:name="Xb9e260bcc99b5d4de900fc3c4c7a55cf6373f18"/>
    <w:p>
      <w:pPr>
        <w:pStyle w:val="Heading1"/>
      </w:pPr>
      <w:r>
        <w:t xml:space="preserve">AUSTRALIA MELBOURNE CHEMICAL ENGINEER SALES REPORT</w:t>
      </w:r>
    </w:p>
    <w:p>
      <w:pPr>
        <w:pStyle w:val="FirstParagraph"/>
      </w:pPr>
      <w:r>
        <w:t xml:space="preserve">Quarterly Recruitment Performance Analysis | Q3 2023</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recruitment performance for specialized</w:t>
      </w:r>
      <w:r>
        <w:t xml:space="preserve"> </w:t>
      </w:r>
      <w:r>
        <w:rPr>
          <w:iCs/>
          <w:i/>
        </w:rPr>
        <w:t xml:space="preserve">Chemical Engineer</w:t>
      </w:r>
      <w:r>
        <w:t xml:space="preserve"> </w:t>
      </w:r>
      <w:r>
        <w:t xml:space="preserve">roles across Melbourne's industrial landscape. The report demonstrates exceptional market positioning within Australia's engineering sector, with a 37% increase in qualified candidate placements compared to Q2 2023. As Melbourne solidifies its position as Australia's innovation hub, this</w:t>
      </w:r>
      <w:r>
        <w:t xml:space="preserve"> </w:t>
      </w:r>
      <w:r>
        <w:rPr>
          <w:bCs/>
          <w:b/>
        </w:rPr>
        <w:t xml:space="preserve">Sales Report</w:t>
      </w:r>
      <w:r>
        <w:t xml:space="preserve"> </w:t>
      </w:r>
      <w:r>
        <w:t xml:space="preserve">provides critical insights for strategic resource allocation in the chemical engineering talent marketplace.</w:t>
      </w:r>
    </w:p>
    <w:bookmarkEnd w:id="20"/>
    <w:bookmarkStart w:id="21" w:name="Xbdfc005a024ef9f747ff37d0a0a9257ffd581e9"/>
    <w:p>
      <w:pPr>
        <w:pStyle w:val="Heading2"/>
      </w:pPr>
      <w:r>
        <w:t xml:space="preserve">Market Context: Australia Melbourne Chemical Engineering Landscape</w:t>
      </w:r>
    </w:p>
    <w:p>
      <w:pPr>
        <w:pStyle w:val="FirstParagraph"/>
      </w:pPr>
      <w:r>
        <w:t xml:space="preserve">Melbourne represents the epicenter of chemical engineering activity in Australia, housing 42% of the nation's specialized engineering firms. The city's strategic advantages—proximity to major ports, world-class research institutions (University of Melbourne, RMIT), and government initiatives like Victoria's Chemical Industry Strategy—have created unprecedented demand for</w:t>
      </w:r>
      <w:r>
        <w:t xml:space="preserve"> </w:t>
      </w:r>
      <w:r>
        <w:rPr>
          <w:iCs/>
          <w:i/>
        </w:rPr>
        <w:t xml:space="preserve">Chemical Engineer</w:t>
      </w:r>
      <w:r>
        <w:t xml:space="preserve"> </w:t>
      </w:r>
      <w:r>
        <w:t xml:space="preserve">talent. This</w:t>
      </w:r>
      <w:r>
        <w:t xml:space="preserve"> </w:t>
      </w:r>
      <w:r>
        <w:rPr>
          <w:bCs/>
          <w:b/>
        </w:rPr>
        <w:t xml:space="preserve">Sales Report</w:t>
      </w:r>
      <w:r>
        <w:t xml:space="preserve"> </w:t>
      </w:r>
      <w:r>
        <w:t xml:space="preserve">confirms that 89% of our clients in Australia Melbourne are expanding their chemical engineering teams to meet growing demands in renewable energy, pharmaceutical manufacturing, and sustainable materials development.</w:t>
      </w:r>
    </w:p>
    <w:bookmarkEnd w:id="21"/>
    <w:bookmarkStart w:id="23" w:name="q3-recruitment-performance-analysis"/>
    <w:p>
      <w:pPr>
        <w:pStyle w:val="Heading2"/>
      </w:pPr>
      <w:r>
        <w:t xml:space="preserve">Q3 Recruitment Performance Analysis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Δ</w:t>
            </w:r>
          </w:p>
        </w:tc>
      </w:tr>
      <w:tr>
        <w:tc>
          <w:tcPr/>
          <w:p>
            <w:pPr>
              <w:pStyle w:val="Compact"/>
              <w:jc w:val="left"/>
            </w:pPr>
            <w:r>
              <w:t xml:space="preserve">Total Positions Filled</w:t>
            </w:r>
          </w:p>
        </w:tc>
        <w:tc>
          <w:tcPr/>
          <w:p>
            <w:pPr>
              <w:pStyle w:val="Compact"/>
              <w:jc w:val="left"/>
            </w:pPr>
            <w:r>
              <w:t xml:space="preserve">47</w:t>
            </w:r>
          </w:p>
        </w:tc>
        <w:tc>
          <w:tcPr/>
          <w:p>
            <w:pPr>
              <w:pStyle w:val="Compact"/>
              <w:jc w:val="left"/>
            </w:pPr>
            <w:r>
              <w:t xml:space="preserve">34</w:t>
            </w:r>
          </w:p>
        </w:tc>
        <w:tc>
          <w:tcPr/>
          <w:p>
            <w:pPr>
              <w:pStyle w:val="Compact"/>
              <w:jc w:val="left"/>
            </w:pPr>
            <w:r>
              <w:t xml:space="preserve">+38.2%</w:t>
            </w:r>
          </w:p>
        </w:tc>
      </w:tr>
      <w:tr>
        <w:tc>
          <w:tcPr/>
          <w:p>
            <w:pPr>
              <w:pStyle w:val="Compact"/>
              <w:jc w:val="left"/>
            </w:pPr>
            <w:r>
              <w:t xml:space="preserve">Average Time-to-Hire</w:t>
            </w:r>
          </w:p>
        </w:tc>
        <w:tc>
          <w:tcPr/>
          <w:p>
            <w:pPr>
              <w:pStyle w:val="Compact"/>
              <w:jc w:val="left"/>
            </w:pPr>
            <w:r>
              <w:t xml:space="preserve">42 days</w:t>
            </w:r>
          </w:p>
        </w:tc>
        <w:tc>
          <w:tcPr/>
          <w:p>
            <w:pPr>
              <w:pStyle w:val="Compact"/>
              <w:jc w:val="left"/>
            </w:pPr>
            <w:r>
              <w:t xml:space="preserve">58 days</w:t>
            </w:r>
          </w:p>
        </w:tc>
        <w:tc>
          <w:tcPr/>
          <w:p>
            <w:pPr>
              <w:pStyle w:val="Compact"/>
              <w:jc w:val="left"/>
            </w:pPr>
            <w:r>
              <w:t xml:space="preserve">-27.6%</w:t>
            </w:r>
          </w:p>
        </w:tc>
      </w:tr>
      <w:tr>
        <w:tc>
          <w:tcPr/>
          <w:p>
            <w:pPr>
              <w:pStyle w:val="Compact"/>
              <w:jc w:val="left"/>
            </w:pPr>
            <w:r>
              <w:t xml:space="preserve">Client Satisfaction Rate</w:t>
            </w:r>
          </w:p>
        </w:tc>
        <w:tc>
          <w:tcPr/>
          <w:p>
            <w:pPr>
              <w:pStyle w:val="Compact"/>
              <w:jc w:val="left"/>
            </w:pPr>
            <w:r>
              <w:t xml:space="preserve">96%</w:t>
            </w:r>
          </w:p>
        </w:tc>
        <w:tc>
          <w:tcPr/>
          <w:p>
            <w:pPr>
              <w:pStyle w:val="Compact"/>
              <w:jc w:val="left"/>
            </w:pPr>
            <w:r>
              <w:t xml:space="preserve">92%</w:t>
            </w:r>
          </w:p>
        </w:tc>
        <w:tc>
          <w:tcPr/>
          <w:p>
            <w:pPr>
              <w:pStyle w:val="Compact"/>
              <w:jc w:val="left"/>
            </w:pPr>
            <w:r>
              <w:t xml:space="preserve">+4.3%</w:t>
            </w:r>
          </w:p>
        </w:tc>
      </w:tr>
      <w:tr>
        <w:tc>
          <w:tcPr/>
          <w:p>
            <w:pPr>
              <w:pStyle w:val="Compact"/>
              <w:jc w:val="left"/>
            </w:pPr>
            <w:r>
              <w:t xml:space="preserve">Retention Rate (6 months)</w:t>
            </w:r>
          </w:p>
        </w:tc>
        <w:tc>
          <w:tcPr/>
          <w:p>
            <w:pPr>
              <w:pStyle w:val="Compact"/>
              <w:jc w:val="left"/>
            </w:pPr>
            <w:r>
              <w:t xml:space="preserve">94%</w:t>
            </w:r>
          </w:p>
        </w:tc>
        <w:tc>
          <w:tcPr/>
          <w:p>
            <w:pPr>
              <w:pStyle w:val="Compact"/>
              <w:jc w:val="left"/>
            </w:pPr>
            <w:r>
              <w:t xml:space="preserve">88%</w:t>
            </w:r>
          </w:p>
        </w:tc>
        <w:tc>
          <w:tcPr/>
          <w:p>
            <w:pPr>
              <w:pStyle w:val="Compact"/>
              <w:jc w:val="left"/>
            </w:pPr>
            <w:r>
              <w:t xml:space="preserve">+6.0%</w:t>
            </w:r>
          </w:p>
        </w:tc>
      </w:tr>
    </w:tbl>
    <w:bookmarkStart w:id="22" w:name="key-performance-highlights"/>
    <w:p>
      <w:pPr>
        <w:pStyle w:val="Heading3"/>
      </w:pPr>
      <w:r>
        <w:t xml:space="preserve">Key Performance Highlights</w:t>
      </w:r>
    </w:p>
    <w:p>
      <w:pPr>
        <w:numPr>
          <w:ilvl w:val="0"/>
          <w:numId w:val="1001"/>
        </w:numPr>
        <w:pStyle w:val="Compact"/>
      </w:pPr>
      <w:r>
        <w:rPr>
          <w:bCs/>
          <w:b/>
        </w:rPr>
        <w:t xml:space="preserve">High-Demand Specializations:</w:t>
      </w:r>
      <w:r>
        <w:t xml:space="preserve"> </w:t>
      </w:r>
      <w:r>
        <w:t xml:space="preserve">Process optimization (41%), bioprocessing (28%), and sustainable manufacturing engineers led the market, representing 69% of all placements in Australia Melbourne.</w:t>
      </w:r>
    </w:p>
    <w:p>
      <w:pPr>
        <w:numPr>
          <w:ilvl w:val="0"/>
          <w:numId w:val="1001"/>
        </w:numPr>
        <w:pStyle w:val="Compact"/>
      </w:pPr>
      <w:r>
        <w:rPr>
          <w:bCs/>
          <w:b/>
        </w:rPr>
        <w:t xml:space="preserve">Regional Expansion:</w:t>
      </w:r>
      <w:r>
        <w:t xml:space="preserve"> </w:t>
      </w:r>
      <w:r>
        <w:t xml:space="preserve">Significant growth in placements across Melbourne's western corridor (Werribee, Tullamarine) where new chemical manufacturing hubs are emerging.</w:t>
      </w:r>
    </w:p>
    <w:p>
      <w:pPr>
        <w:numPr>
          <w:ilvl w:val="0"/>
          <w:numId w:val="1001"/>
        </w:numPr>
        <w:pStyle w:val="Compact"/>
      </w:pPr>
      <w:r>
        <w:rPr>
          <w:bCs/>
          <w:b/>
        </w:rPr>
        <w:t xml:space="preserve">Talent Acquisition Efficiency:</w:t>
      </w:r>
      <w:r>
        <w:t xml:space="preserve"> </w:t>
      </w:r>
      <w:r>
        <w:t xml:space="preserve">Implemented AI-driven candidate matching that reduced screening time by 35% while maintaining 97% quality assurance for</w:t>
      </w:r>
      <w:r>
        <w:t xml:space="preserve"> </w:t>
      </w:r>
      <w:r>
        <w:rPr>
          <w:iCs/>
          <w:i/>
        </w:rPr>
        <w:t xml:space="preserve">Chemical Engineer</w:t>
      </w:r>
      <w:r>
        <w:t xml:space="preserve"> </w:t>
      </w:r>
      <w:r>
        <w:t xml:space="preserve">roles.</w:t>
      </w:r>
    </w:p>
    <w:p>
      <w:pPr>
        <w:numPr>
          <w:ilvl w:val="0"/>
          <w:numId w:val="1001"/>
        </w:numPr>
        <w:pStyle w:val="Compact"/>
      </w:pPr>
      <w:r>
        <w:rPr>
          <w:bCs/>
          <w:b/>
        </w:rPr>
        <w:t xml:space="preserve">Multinational Engagement:</w:t>
      </w:r>
      <w:r>
        <w:t xml:space="preserve"> </w:t>
      </w:r>
      <w:r>
        <w:t xml:space="preserve">23 international placements from UK, Germany and Singapore into Melbourne-based chemical engineering teams, reflecting Australia's global talent appeal.</w:t>
      </w:r>
    </w:p>
    <w:bookmarkEnd w:id="22"/>
    <w:bookmarkEnd w:id="23"/>
    <w:bookmarkStart w:id="27" w:name="Xdf434930778c011ee2febb2b47d7d053f045d0d"/>
    <w:p>
      <w:pPr>
        <w:pStyle w:val="Heading2"/>
      </w:pPr>
      <w:r>
        <w:t xml:space="preserve">Strategic Market Insights for Chemical Engineering in Australia Melbourne</w:t>
      </w:r>
    </w:p>
    <w:p>
      <w:pPr>
        <w:pStyle w:val="FirstParagraph"/>
      </w:pPr>
      <w:r>
        <w:t xml:space="preserve">The current market dynamics reveal three critical trends shaping the</w:t>
      </w:r>
      <w:r>
        <w:t xml:space="preserve"> </w:t>
      </w:r>
      <w:r>
        <w:rPr>
          <w:bCs/>
          <w:b/>
        </w:rPr>
        <w:t xml:space="preserve">Sales Report</w:t>
      </w:r>
      <w:r>
        <w:t xml:space="preserve"> </w:t>
      </w:r>
      <w:r>
        <w:t xml:space="preserve">for</w:t>
      </w:r>
      <w:r>
        <w:t xml:space="preserve"> </w:t>
      </w:r>
      <w:r>
        <w:rPr>
          <w:iCs/>
          <w:i/>
        </w:rPr>
        <w:t xml:space="preserve">Chemical Engineer</w:t>
      </w:r>
      <w:r>
        <w:t xml:space="preserve"> </w:t>
      </w:r>
      <w:r>
        <w:t xml:space="preserve">recruitment in Australia Melbourne:</w:t>
      </w:r>
    </w:p>
    <w:bookmarkStart w:id="24" w:name="sustainability-as-primary-driver"/>
    <w:p>
      <w:pPr>
        <w:pStyle w:val="Heading3"/>
      </w:pPr>
      <w:r>
        <w:t xml:space="preserve">1. Sustainability as Primary Driver</w:t>
      </w:r>
    </w:p>
    <w:p>
      <w:pPr>
        <w:pStyle w:val="FirstParagraph"/>
      </w:pPr>
      <w:r>
        <w:t xml:space="preserve">Nearly 78% of new chemical engineering positions in Melbourne are directly tied to sustainability initiatives. Client briefings consistently prioritize candidates with expertise in carbon capture, green hydrogen production, and circular economy design—areas where Australia Melbourne leads national R&amp;D investment. This trend has elevated the value proposition for specialized</w:t>
      </w:r>
      <w:r>
        <w:t xml:space="preserve"> </w:t>
      </w:r>
      <w:r>
        <w:rPr>
          <w:iCs/>
          <w:i/>
        </w:rPr>
        <w:t xml:space="preserve">Chemical Engineer</w:t>
      </w:r>
      <w:r>
        <w:t xml:space="preserve"> </w:t>
      </w:r>
      <w:r>
        <w:t xml:space="preserve">talent beyond traditional process roles.</w:t>
      </w:r>
    </w:p>
    <w:bookmarkEnd w:id="24"/>
    <w:bookmarkStart w:id="25" w:name="skills-gap-in-digital-transformation"/>
    <w:p>
      <w:pPr>
        <w:pStyle w:val="Heading3"/>
      </w:pPr>
      <w:r>
        <w:t xml:space="preserve">2. Skills Gap in Digital Transformation</w:t>
      </w:r>
    </w:p>
    <w:p>
      <w:pPr>
        <w:pStyle w:val="FirstParagraph"/>
      </w:pPr>
      <w:r>
        <w:t xml:space="preserve">The report identifies a critical shortage of chemical engineers with combined skills in AI-driven process optimization and traditional engineering disciplines. Only 14% of candidates possess certified digital capabilities, creating an opportunity for targeted upskilling partnerships with Melbourne universities like Monash and Deakin.</w:t>
      </w:r>
    </w:p>
    <w:bookmarkEnd w:id="25"/>
    <w:bookmarkStart w:id="26" w:name="competitive-salary-benchmarks"/>
    <w:p>
      <w:pPr>
        <w:pStyle w:val="Heading3"/>
      </w:pPr>
      <w:r>
        <w:t xml:space="preserve">3. Competitive Salary Benchmarks</w:t>
      </w:r>
    </w:p>
    <w:p>
      <w:pPr>
        <w:pStyle w:val="FirstParagraph"/>
      </w:pPr>
      <w:r>
        <w:t xml:space="preserve">Base salary ranges have increased 18% YoY in Melbourne for senior chemical engineers ($145k-$210k), surpassing national averages. The report confirms that candidates now prioritize sustainability-focused projects and flexible work models over pure salary increases—a shift critical to our</w:t>
      </w:r>
      <w:r>
        <w:t xml:space="preserve"> </w:t>
      </w:r>
      <w:r>
        <w:rPr>
          <w:bCs/>
          <w:b/>
        </w:rPr>
        <w:t xml:space="preserve">Sales Report</w:t>
      </w:r>
      <w:r>
        <w:t xml:space="preserve"> </w:t>
      </w:r>
      <w:r>
        <w:t xml:space="preserve">strategy.</w:t>
      </w:r>
    </w:p>
    <w:bookmarkEnd w:id="26"/>
    <w:bookmarkEnd w:id="27"/>
    <w:bookmarkStart w:id="28" w:name="challenges-and-strategic-recommendations"/>
    <w:p>
      <w:pPr>
        <w:pStyle w:val="Heading2"/>
      </w:pPr>
      <w:r>
        <w:t xml:space="preserve">Challenges and Strategic Recommendations</w:t>
      </w:r>
    </w:p>
    <w:p>
      <w:pPr>
        <w:pStyle w:val="FirstParagraph"/>
      </w:pPr>
      <w:r>
        <w:t xml:space="preserve">While performance remains strong, the</w:t>
      </w:r>
      <w:r>
        <w:t xml:space="preserve"> </w:t>
      </w:r>
      <w:r>
        <w:rPr>
          <w:bCs/>
          <w:b/>
        </w:rPr>
        <w:t xml:space="preserve">Sales Report</w:t>
      </w:r>
      <w:r>
        <w:t xml:space="preserve"> </w:t>
      </w:r>
      <w:r>
        <w:t xml:space="preserve">identifies three immediate challenges requiring action in Australia Melbourne's chemical engineering market:</w:t>
      </w:r>
    </w:p>
    <w:p>
      <w:pPr>
        <w:numPr>
          <w:ilvl w:val="0"/>
          <w:numId w:val="1002"/>
        </w:numPr>
        <w:pStyle w:val="Compact"/>
      </w:pPr>
      <w:r>
        <w:rPr>
          <w:bCs/>
          <w:b/>
        </w:rPr>
        <w:t xml:space="preserve">Talent Pipeline Shortage:</w:t>
      </w:r>
      <w:r>
        <w:t xml:space="preserve"> </w:t>
      </w:r>
      <w:r>
        <w:t xml:space="preserve">Only 35% of local graduates possess the required sustainability competencies. Recommendation: Establish an exclusive "Green Chemical Engineering" scholarship program with Melbourne's tertiary institutions.</w:t>
      </w:r>
    </w:p>
    <w:p>
      <w:pPr>
        <w:numPr>
          <w:ilvl w:val="0"/>
          <w:numId w:val="1002"/>
        </w:numPr>
        <w:pStyle w:val="Compact"/>
      </w:pPr>
      <w:r>
        <w:rPr>
          <w:bCs/>
          <w:b/>
        </w:rPr>
        <w:t xml:space="preserve">Competition for Niche Skills:</w:t>
      </w:r>
      <w:r>
        <w:t xml:space="preserve"> </w:t>
      </w:r>
      <w:r>
        <w:t xml:space="preserve">Pharmaceutical chemical engineering roles face 1:8 candidate-to-opening ratios. Recommendation: Develop specialized LinkedIn talent communities targeting international candidates in EU biotech hubs.</w:t>
      </w:r>
    </w:p>
    <w:p>
      <w:pPr>
        <w:numPr>
          <w:ilvl w:val="0"/>
          <w:numId w:val="1002"/>
        </w:numPr>
        <w:pStyle w:val="Compact"/>
      </w:pPr>
      <w:r>
        <w:rPr>
          <w:bCs/>
          <w:b/>
        </w:rPr>
        <w:t xml:space="preserve">Client Education Gap:</w:t>
      </w:r>
      <w:r>
        <w:t xml:space="preserve"> </w:t>
      </w:r>
      <w:r>
        <w:t xml:space="preserve">42% of new clients lack clear competency frameworks for chemical engineering roles. Recommendation: Implement mandatory skill-mapping workshops for all Australia Melbourne clients before recruitment initiation.</w:t>
      </w:r>
    </w:p>
    <w:bookmarkEnd w:id="28"/>
    <w:bookmarkStart w:id="29" w:name="conclusion-and-future-outlook"/>
    <w:p>
      <w:pPr>
        <w:pStyle w:val="Heading2"/>
      </w:pPr>
      <w:r>
        <w:t xml:space="preserve">Conclusion and Future Outlook</w:t>
      </w:r>
    </w:p>
    <w:p>
      <w:pPr>
        <w:pStyle w:val="FirstParagraph"/>
      </w:pPr>
      <w:r>
        <w:t xml:space="preserve">This</w:t>
      </w:r>
      <w:r>
        <w:t xml:space="preserve"> </w:t>
      </w:r>
      <w:r>
        <w:rPr>
          <w:bCs/>
          <w:b/>
        </w:rPr>
        <w:t xml:space="preserve">Sales Report</w:t>
      </w:r>
      <w:r>
        <w:t xml:space="preserve"> </w:t>
      </w:r>
      <w:r>
        <w:t xml:space="preserve">unequivocally demonstrates Melbourne's position as Australia's premier market for chemical engineering talent acquisition. The city's unique combination of research infrastructure, industry investment, and sustainability focus has created a self-reinforcing cycle of demand that positions us for continued growth. Looking ahead to Q4 2023, we project a 25% increase in chemical engineering placements as major projects like the Victorian Hydrogen Hub and Melbourne Biofabrication Initiative come online.</w:t>
      </w:r>
    </w:p>
    <w:p>
      <w:pPr>
        <w:pStyle w:val="BodyText"/>
      </w:pPr>
      <w:r>
        <w:t xml:space="preserve">For organizations seeking to secure top-tier</w:t>
      </w:r>
      <w:r>
        <w:t xml:space="preserve"> </w:t>
      </w:r>
      <w:r>
        <w:rPr>
          <w:iCs/>
          <w:i/>
        </w:rPr>
        <w:t xml:space="preserve">Chemical Engineer</w:t>
      </w:r>
      <w:r>
        <w:t xml:space="preserve"> </w:t>
      </w:r>
      <w:r>
        <w:t xml:space="preserve">talent in Australia Melbourne, this report confirms that success requires three strategic shifts: 1) Prioritizing sustainability credentials in candidate assessment, 2) Investing in digital capability development for engineering teams, and 3) Embracing collaborative talent partnerships with Melbourne's academic ecosystem. The data clearly indicates that these approaches directly correlate with the highest client satisfaction rates and retention metrics documented in our</w:t>
      </w:r>
      <w:r>
        <w:t xml:space="preserve"> </w:t>
      </w:r>
      <w:r>
        <w:rPr>
          <w:bCs/>
          <w:b/>
        </w:rPr>
        <w:t xml:space="preserve">Sales Report</w:t>
      </w:r>
      <w:r>
        <w:t xml:space="preserve">.</w:t>
      </w:r>
    </w:p>
    <w:p>
      <w:pPr>
        <w:pStyle w:val="BodyText"/>
      </w:pPr>
      <w:r>
        <w:t xml:space="preserve">As Melbourne continues to emerge as a global leader in sustainable chemical engineering innovation, this market report serves as both a performance indicator and strategic roadmap for all stakeholders engaged in Australia's engineering talent ecosystem. The path forward is clear: those who align their recruitment strategies with Melbourne's sustainability mission will secure the most qualified Chemical Engineers at optimal market value.</w:t>
      </w:r>
    </w:p>
    <w:p>
      <w:pPr>
        <w:pStyle w:val="BodyText"/>
      </w:pPr>
      <w:r>
        <w:t xml:space="preserve">Prepared by: Melbourne Talent Solutions Group</w:t>
      </w:r>
      <w:r>
        <w:br/>
      </w:r>
      <w:r>
        <w:t xml:space="preserve">Report Date: October 15,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 Melbourne Chemical Engineer Sales Report</dc:title>
  <dc:creator/>
  <dc:language>en</dc:language>
  <cp:keywords/>
  <dcterms:created xsi:type="dcterms:W3CDTF">2026-07-23T07:19:35Z</dcterms:created>
  <dcterms:modified xsi:type="dcterms:W3CDTF">2026-07-23T07:19:35Z</dcterms:modified>
</cp:coreProperties>
</file>

<file path=docProps/custom.xml><?xml version="1.0" encoding="utf-8"?>
<Properties xmlns="http://schemas.openxmlformats.org/officeDocument/2006/custom-properties" xmlns:vt="http://schemas.openxmlformats.org/officeDocument/2006/docPropsVTypes"/>
</file>