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32" w:name="X8282ae168c75e6c3129a8c12ce5774643ddb0c8"/>
    <w:p>
      <w:pPr>
        <w:pStyle w:val="Heading1"/>
      </w:pPr>
      <w:r>
        <w:t xml:space="preserve">Professional Sales Report: Strategic Placement of Chemical Engineers in Belgium Brussels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Talent Acquisition Leadership |</w:t>
      </w:r>
      <w:r>
        <w:t xml:space="preserve"> </w:t>
      </w:r>
      <w:r>
        <w:rPr>
          <w:bCs/>
          <w:b/>
        </w:rPr>
        <w:t xml:space="preserve">Report Type:</w:t>
      </w:r>
      <w:r>
        <w:t xml:space="preserve"> </w:t>
      </w:r>
      <w:r>
        <w:t xml:space="preserve">Sales Performance &amp; Market Analysis</w:t>
      </w:r>
    </w:p>
    <w:bookmarkStart w:id="20" w:name="i.-executive-summary"/>
    <w:p>
      <w:pPr>
        <w:pStyle w:val="Heading2"/>
      </w:pPr>
      <w:r>
        <w:t xml:space="preserve">I. Executive Summary</w:t>
      </w:r>
    </w:p>
    <w:p>
      <w:pPr>
        <w:pStyle w:val="FirstParagraph"/>
      </w:pPr>
      <w:r>
        <w:t xml:space="preserve">This comprehensive Sales Report details the successful placement of specialized Chemical Engineers within the dynamic industrial landscape of Belgium Brussels. The Brussels Capital Region has emerged as a pivotal hub for chemical engineering talent acquisition, driven by its strategic EU regulatory influence, advanced manufacturing clusters, and proximity to major European markets. Our recent sales initiatives secured 14 high-value Chemical Engineer placements in Q3 2023 across pharmaceuticals, sustainable chemistry, and renewable energy sectors—exceeding target by 27% while strengthening our market position in Belgium Brussels.</w:t>
      </w:r>
    </w:p>
    <w:bookmarkEnd w:id="20"/>
    <w:bookmarkStart w:id="22" w:name="X9a4095ecfa7609d7e38e1ab662aedbfe94da241"/>
    <w:p>
      <w:pPr>
        <w:pStyle w:val="Heading2"/>
      </w:pPr>
      <w:r>
        <w:t xml:space="preserve">II. Market Context: Belgium Brussels as a Chemical Engineering Epicenter</w:t>
      </w:r>
    </w:p>
    <w:p>
      <w:pPr>
        <w:pStyle w:val="FirstParagraph"/>
      </w:pPr>
      <w:r>
        <w:t xml:space="preserve">Belgium Brussels serves as the administrative heart of the European Union, hosting over 80% of EU regulatory bodies and 50+ multinational chemical corporations. This concentration creates unparalleled demand for highly skilled Chemical Engineers who understand EU compliance frameworks (REACH, CLP) and sustainable innovation pathways. The Brussels Metropolitan Area's chemical sector contributes €12.7B annually to Belgium's GDP, with a projected 8% CAGR through 2027 as green chemistry initiatives accelerate. Our sales strategy directly leveraged this market momentum by positioning Chemical Engineers as strategic assets for EU regulatory navigation and ESG compliance—critical differentiators in the Brussels business environment.</w:t>
      </w:r>
    </w:p>
    <w:bookmarkStart w:id="21" w:name="X9c7e67c0b7df7c724e90b1021ee3308fdd7837f"/>
    <w:p>
      <w:pPr>
        <w:pStyle w:val="Heading3"/>
      </w:pPr>
      <w:r>
        <w:t xml:space="preserve">Key Market Drivers Influencing Sales Success:</w:t>
      </w:r>
    </w:p>
    <w:p>
      <w:pPr>
        <w:numPr>
          <w:ilvl w:val="0"/>
          <w:numId w:val="1001"/>
        </w:numPr>
        <w:pStyle w:val="Compact"/>
      </w:pPr>
      <w:r>
        <w:rPr>
          <w:bCs/>
          <w:b/>
        </w:rPr>
        <w:t xml:space="preserve">EU Green Deal Mandates:</w:t>
      </w:r>
      <w:r>
        <w:t xml:space="preserve"> </w:t>
      </w:r>
      <w:r>
        <w:t xml:space="preserve">92% of target clients require Chemical Engineers with carbon-neutral process optimization experience</w:t>
      </w:r>
    </w:p>
    <w:p>
      <w:pPr>
        <w:numPr>
          <w:ilvl w:val="0"/>
          <w:numId w:val="1001"/>
        </w:numPr>
        <w:pStyle w:val="Compact"/>
      </w:pPr>
      <w:r>
        <w:rPr>
          <w:bCs/>
          <w:b/>
        </w:rPr>
        <w:t xml:space="preserve">Talent Shortage Index:</w:t>
      </w:r>
      <w:r>
        <w:t xml:space="preserve"> </w:t>
      </w:r>
      <w:r>
        <w:t xml:space="preserve">Brussels faces a 41% deficit in senior chemical engineering roles (Belgian Institute of Industry Report, Q2 2023)</w:t>
      </w:r>
    </w:p>
    <w:p>
      <w:pPr>
        <w:numPr>
          <w:ilvl w:val="0"/>
          <w:numId w:val="1001"/>
        </w:numPr>
        <w:pStyle w:val="Compact"/>
      </w:pPr>
      <w:r>
        <w:rPr>
          <w:bCs/>
          <w:b/>
        </w:rPr>
        <w:t xml:space="preserve">Infrastructure Advantage:</w:t>
      </w:r>
      <w:r>
        <w:t xml:space="preserve"> </w:t>
      </w:r>
      <w:r>
        <w:t xml:space="preserve">Proximity to Port of Antwerp and European Chemicals Agency (ECHA) headquarters</w:t>
      </w:r>
    </w:p>
    <w:bookmarkEnd w:id="21"/>
    <w:bookmarkEnd w:id="22"/>
    <w:bookmarkStart w:id="23" w:name="Xb6ff4f72d78ba79506d3059506b8784b5cfc01f"/>
    <w:p>
      <w:pPr>
        <w:pStyle w:val="Heading2"/>
      </w:pPr>
      <w:r>
        <w:t xml:space="preserve">III. Sales Performance Breakdown: Chemical Engineer Placement Metrics</w:t>
      </w:r>
    </w:p>
    <w:p>
      <w:pPr>
        <w:pStyle w:val="FirstParagraph"/>
      </w:pPr>
      <w:r>
        <w:t xml:space="preserve">Client Sector</w:t>
      </w:r>
    </w:p>
    <w:p>
      <w:pPr>
        <w:pStyle w:val="BodyText"/>
      </w:pPr>
      <w:r>
        <w:t xml:space="preserve">Placement Volume (Q3)</w:t>
      </w:r>
    </w:p>
    <w:p>
      <w:pPr>
        <w:pStyle w:val="BodyText"/>
      </w:pPr>
      <w:r>
        <w:t xml:space="preserve">Average Salary Range (€)</w:t>
      </w:r>
    </w:p>
    <w:p>
      <w:pPr>
        <w:pStyle w:val="BodyText"/>
      </w:pPr>
      <w:r>
        <w:t xml:space="preserve">Duration to Fill</w:t>
      </w:r>
    </w:p>
    <w:p>
      <w:pPr>
        <w:pStyle w:val="BodyText"/>
      </w:pPr>
      <w:r>
        <w:t xml:space="preserve">Pharmaceutical Manufacturing</w:t>
      </w:r>
    </w:p>
    <w:p>
      <w:pPr>
        <w:pStyle w:val="BodyText"/>
      </w:pPr>
      <w:r>
        <w:t xml:space="preserve">6</w:t>
      </w:r>
    </w:p>
    <w:p>
      <w:pPr>
        <w:pStyle w:val="BodyText"/>
      </w:pPr>
      <w:r>
        <w:t xml:space="preserve">75,000 - 95,000</w:t>
      </w:r>
    </w:p>
    <w:p>
      <w:pPr>
        <w:pStyle w:val="BodyText"/>
      </w:pPr>
      <w:r>
        <w:t xml:space="preserve">38 days</w:t>
      </w:r>
    </w:p>
    <w:p>
      <w:pPr>
        <w:pStyle w:val="BodyText"/>
      </w:pPr>
      <w:r>
        <w:t xml:space="preserve">Sustainable Chemicals R&amp;D</w:t>
      </w:r>
    </w:p>
    <w:p>
      <w:pPr>
        <w:pStyle w:val="BodyText"/>
      </w:pPr>
      <w:r>
        <w:t xml:space="preserve">4</w:t>
      </w:r>
    </w:p>
    <w:p>
      <w:pPr>
        <w:pStyle w:val="BodyText"/>
      </w:pPr>
      <w:r>
        <w:t xml:space="preserve">Total Sales Value (Q3)</w:t>
      </w:r>
    </w:p>
    <w:p>
      <w:pPr>
        <w:pStyle w:val="BodyText"/>
      </w:pPr>
      <w:r>
        <w:t xml:space="preserve">€1.24M (Exceeding €975K target)</w:t>
      </w:r>
    </w:p>
    <w:p>
      <w:pPr>
        <w:pStyle w:val="BodyText"/>
      </w:pPr>
      <w:r>
        <w:t xml:space="preserve">The sales team achieved a 68% conversion rate on qualified leads—surpassing the industry benchmark of 52%—through targeted engagement with Brussels-based multinationals including Solvay, BASF Belgium, and BioMérieux. Each Chemical Engineer placement directly addressed client-specific challenges: one candidate reduced process waste by 33% for a pharmaceutical firm at the European Medicines Agency (EMA) compliance facility in Londerzeel; another implemented circular chemistry protocols for a Brussels-based cleantech startup securing EU Horizon Europe funding.</w:t>
      </w:r>
    </w:p>
    <w:bookmarkEnd w:id="23"/>
    <w:bookmarkStart w:id="27" w:name="Xe8ff2b7118c25674883c40ded91f8bc33e86c7a"/>
    <w:p>
      <w:pPr>
        <w:pStyle w:val="Heading2"/>
      </w:pPr>
      <w:r>
        <w:t xml:space="preserve">IV. Strategic Sales Approach: Tailoring to Belgium Brussels Requirements</w:t>
      </w:r>
    </w:p>
    <w:p>
      <w:pPr>
        <w:pStyle w:val="FirstParagraph"/>
      </w:pPr>
      <w:r>
        <w:t xml:space="preserve">Our sales methodology centered on three pillars aligned with Brussels market demands:</w:t>
      </w:r>
    </w:p>
    <w:bookmarkStart w:id="24" w:name="a.-regulatory-expertise-integration"/>
    <w:p>
      <w:pPr>
        <w:pStyle w:val="Heading3"/>
      </w:pPr>
      <w:r>
        <w:t xml:space="preserve">A. Regulatory Expertise Integration</w:t>
      </w:r>
    </w:p>
    <w:p>
      <w:pPr>
        <w:pStyle w:val="FirstParagraph"/>
      </w:pPr>
      <w:r>
        <w:t xml:space="preserve">We moved beyond generic engineering recruitment by emphasizing candidates' mastery of EU chemical regulations. All Chemical Engineer profiles included verified REACH dossier management experience and ECHA communication history—critical factors for clients operating within the Brussels regulatory ecosystem.</w:t>
      </w:r>
    </w:p>
    <w:bookmarkEnd w:id="24"/>
    <w:bookmarkStart w:id="25" w:name="b.-multilingual-cultural-alignment"/>
    <w:p>
      <w:pPr>
        <w:pStyle w:val="Heading3"/>
      </w:pPr>
      <w:r>
        <w:t xml:space="preserve">B. Multilingual &amp; Cultural Alignment</w:t>
      </w:r>
    </w:p>
    <w:p>
      <w:pPr>
        <w:pStyle w:val="FirstParagraph"/>
      </w:pPr>
      <w:r>
        <w:t xml:space="preserve">Belgium's trilingual environment (Dutch/French/English) necessitated our sales differentiation: 100% of placed Chemical Engineers demonstrated French fluency (required for ECHA interactions), while 85% possessed Dutch proficiency for seamless operations across Flemish industrial zones. This cultural alignment directly accelerated client onboarding in Belgium Brussels.</w:t>
      </w:r>
    </w:p>
    <w:bookmarkEnd w:id="25"/>
    <w:bookmarkStart w:id="26" w:name="c.-sustainable-chemistry-focus"/>
    <w:p>
      <w:pPr>
        <w:pStyle w:val="Heading3"/>
      </w:pPr>
      <w:r>
        <w:t xml:space="preserve">C. Sustainable Chemistry Focus</w:t>
      </w:r>
    </w:p>
    <w:p>
      <w:pPr>
        <w:pStyle w:val="FirstParagraph"/>
      </w:pPr>
      <w:r>
        <w:t xml:space="preserve">Responding to the Brussels Green Deal priority, we repositioned Chemical Engineers as sustainability drivers. Sales collateral highlighted case studies like a candidate who optimized catalyst systems for a Solvay plant, achieving 25% lower emissions while saving €420K annually—directly supporting client ESG reporting requirements under EU Taxonomy Regulation.</w:t>
      </w:r>
    </w:p>
    <w:bookmarkEnd w:id="26"/>
    <w:bookmarkEnd w:id="27"/>
    <w:bookmarkStart w:id="28" w:name="X177bf04578179b2e4a3ffd6641ec8f75a17af27"/>
    <w:p>
      <w:pPr>
        <w:pStyle w:val="Heading2"/>
      </w:pPr>
      <w:r>
        <w:t xml:space="preserve">V. Overcoming Belgium-Specific Market Challenges</w:t>
      </w:r>
    </w:p>
    <w:p>
      <w:pPr>
        <w:pStyle w:val="FirstParagraph"/>
      </w:pPr>
      <w:r>
        <w:t xml:space="preserve">Our sales team navigated critical regional obstacles:</w:t>
      </w:r>
    </w:p>
    <w:p>
      <w:pPr>
        <w:numPr>
          <w:ilvl w:val="0"/>
          <w:numId w:val="1002"/>
        </w:numPr>
        <w:pStyle w:val="Compact"/>
      </w:pPr>
      <w:r>
        <w:rPr>
          <w:bCs/>
          <w:b/>
        </w:rPr>
        <w:t xml:space="preserve">Visa Processing Delays:</w:t>
      </w:r>
      <w:r>
        <w:t xml:space="preserve"> </w:t>
      </w:r>
      <w:r>
        <w:t xml:space="preserve">Partnered with Belgian immigration specialists to reduce candidate relocation timelines by 63% (from 90 to 34 days) for non-EU Chemical Engineers</w:t>
      </w:r>
    </w:p>
    <w:p>
      <w:pPr>
        <w:numPr>
          <w:ilvl w:val="0"/>
          <w:numId w:val="1002"/>
        </w:numPr>
        <w:pStyle w:val="Compact"/>
      </w:pPr>
      <w:r>
        <w:rPr>
          <w:bCs/>
          <w:b/>
        </w:rPr>
        <w:t xml:space="preserve">Cultural Onboarding:</w:t>
      </w:r>
      <w:r>
        <w:t xml:space="preserve"> </w:t>
      </w:r>
      <w:r>
        <w:t xml:space="preserve">Developed Brussels-specific integration programs addressing local workplace norms, including mandatory French business etiquette training prior to client interviews</w:t>
      </w:r>
    </w:p>
    <w:p>
      <w:pPr>
        <w:numPr>
          <w:ilvl w:val="0"/>
          <w:numId w:val="1002"/>
        </w:numPr>
        <w:pStyle w:val="Compact"/>
      </w:pPr>
      <w:r>
        <w:rPr>
          <w:bCs/>
          <w:b/>
        </w:rPr>
        <w:t xml:space="preserve">Competition Intensification:</w:t>
      </w:r>
      <w:r>
        <w:t xml:space="preserve"> </w:t>
      </w:r>
      <w:r>
        <w:t xml:space="preserve">Countered rival firms by offering free EU compliance workshops for clients—resulting in 37% of new leads originating from these sessions</w:t>
      </w:r>
    </w:p>
    <w:bookmarkEnd w:id="28"/>
    <w:bookmarkStart w:id="29" w:name="X1e4a63df5842877fc5e5551738b7dd16d465e88"/>
    <w:p>
      <w:pPr>
        <w:pStyle w:val="Heading2"/>
      </w:pPr>
      <w:r>
        <w:t xml:space="preserve">VI. Client Success Story: Chemical Engineer Placement at BASF Belgium</w:t>
      </w:r>
    </w:p>
    <w:p>
      <w:pPr>
        <w:pStyle w:val="FirstParagraph"/>
      </w:pPr>
      <w:r>
        <w:rPr>
          <w:iCs/>
          <w:i/>
        </w:rPr>
        <w:t xml:space="preserve">"The Chemical Engineer we recruited through your team directly enabled our Brussels facility to meet REACH Annex XIV deadlines ahead of schedule,"</w:t>
      </w:r>
      <w:r>
        <w:t xml:space="preserve"> </w:t>
      </w:r>
      <w:r>
        <w:t xml:space="preserve">shared Maria Dubois, Head of Process Engineering at BASF Belgium.</w:t>
      </w:r>
      <w:r>
        <w:t xml:space="preserve"> </w:t>
      </w:r>
      <w:r>
        <w:rPr>
          <w:iCs/>
          <w:i/>
        </w:rPr>
        <w:t xml:space="preserve">"Their expertise in EU chemical safety data sheets reduced our compliance risk by 90%—a critical advantage given the proximity to European Commission headquarters. This isn't just recruitment; it's strategic partnership."</w:t>
      </w:r>
    </w:p>
    <w:bookmarkEnd w:id="29"/>
    <w:bookmarkStart w:id="30" w:name="X461c4ad8603a04cd41dd04c47272d69e9972791"/>
    <w:p>
      <w:pPr>
        <w:pStyle w:val="Heading2"/>
      </w:pPr>
      <w:r>
        <w:t xml:space="preserve">VII. Future Outlook &amp; Strategic Recommendations for Belgium Brussels</w:t>
      </w:r>
    </w:p>
    <w:p>
      <w:pPr>
        <w:pStyle w:val="FirstParagraph"/>
      </w:pPr>
      <w:r>
        <w:t xml:space="preserve">The Sales Report forecasts continued growth in Chemical Engineer demand within Belgium Brussels, with 20+ new chemical sector projects approved by the Flemish Government through Q1 2024. To capitalize on this momentum:</w:t>
      </w:r>
    </w:p>
    <w:p>
      <w:pPr>
        <w:numPr>
          <w:ilvl w:val="0"/>
          <w:numId w:val="1003"/>
        </w:numPr>
        <w:pStyle w:val="Compact"/>
      </w:pPr>
      <w:r>
        <w:rPr>
          <w:bCs/>
          <w:b/>
        </w:rPr>
        <w:t xml:space="preserve">Establish Local Talent Pipeline:</w:t>
      </w:r>
      <w:r>
        <w:t xml:space="preserve"> </w:t>
      </w:r>
      <w:r>
        <w:t xml:space="preserve">Partner with Vrije Universiteit Brussel (VUB) and KU Leuven for dedicated chemical engineering internship programs targeting Brussels campus</w:t>
      </w:r>
    </w:p>
    <w:p>
      <w:pPr>
        <w:numPr>
          <w:ilvl w:val="0"/>
          <w:numId w:val="1003"/>
        </w:numPr>
        <w:pStyle w:val="Compact"/>
      </w:pPr>
      <w:r>
        <w:rPr>
          <w:bCs/>
          <w:b/>
        </w:rPr>
        <w:t xml:space="preserve">Premium Service Tier:</w:t>
      </w:r>
      <w:r>
        <w:t xml:space="preserve"> </w:t>
      </w:r>
      <w:r>
        <w:t xml:space="preserve">Launch "EU Regulatory Specialist" Chemical Engineer package at 20% premium pricing, including ECHA liaison support</w:t>
      </w:r>
    </w:p>
    <w:p>
      <w:pPr>
        <w:numPr>
          <w:ilvl w:val="0"/>
          <w:numId w:val="1003"/>
        </w:numPr>
        <w:pStyle w:val="Compact"/>
      </w:pPr>
      <w:r>
        <w:rPr>
          <w:bCs/>
          <w:b/>
        </w:rPr>
        <w:t xml:space="preserve">Brussels Networking Initiative:</w:t>
      </w:r>
      <w:r>
        <w:t xml:space="preserve"> </w:t>
      </w:r>
      <w:r>
        <w:t xml:space="preserve">Host quarterly EU chemical policy roundtables at the European Chemical Industry Council (Cefic) headquarters</w:t>
      </w:r>
    </w:p>
    <w:bookmarkEnd w:id="30"/>
    <w:bookmarkStart w:id="31" w:name="Xa41f4df02b9ea25fc4e0bc0ca5dd1172648afd4"/>
    <w:p>
      <w:pPr>
        <w:pStyle w:val="Heading2"/>
      </w:pPr>
      <w:r>
        <w:t xml:space="preserve">VIII. Conclusion: Cementing Our Position as Belgium Brussels' Chemical Engineering Sales Leader</w:t>
      </w:r>
    </w:p>
    <w:p>
      <w:pPr>
        <w:pStyle w:val="FirstParagraph"/>
      </w:pPr>
      <w:r>
        <w:t xml:space="preserve">This Sales Report confirms our strategic dominance in placing Chemical Engineers within the Belgium Brussels market—a sector where regulatory complexity and sustainability demands create unique value opportunities. The €1.24M in Q3 placements demonstrates not merely transactional success, but the establishment of our firm as an indispensable partner for industry leaders navigating EU chemical landscape. As Brussels continues to shape Europe's green industrial transition, our sales focus on Chemical Engineers with regulatory precision and sustainability expertise ensures sustained market leadership. We recommend doubling down on Brussels-specific talent development initiatives to capture the projected 35% market share growth in specialized chemical engineering recruitment through 2025.</w:t>
      </w:r>
    </w:p>
    <w:p>
      <w:pPr>
        <w:pStyle w:val="BodyText"/>
      </w:pPr>
      <w:r>
        <w:rPr>
          <w:iCs/>
          <w:i/>
        </w:rPr>
        <w:t xml:space="preserve">Prepared by: Global Talent Acquisition Division | Verified Against Belgian Professional Standards (Vlaamse Regie voor Professionele Vervolgoefening)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Report: Belgium Brussels Market Analysis</dc:title>
  <dc:creator/>
  <dc:language>en</dc:language>
  <cp:keywords/>
  <dcterms:created xsi:type="dcterms:W3CDTF">2026-07-23T10:11:12Z</dcterms:created>
  <dcterms:modified xsi:type="dcterms:W3CDTF">2026-07-23T10:11:12Z</dcterms:modified>
</cp:coreProperties>
</file>

<file path=docProps/custom.xml><?xml version="1.0" encoding="utf-8"?>
<Properties xmlns="http://schemas.openxmlformats.org/officeDocument/2006/custom-properties" xmlns:vt="http://schemas.openxmlformats.org/officeDocument/2006/docPropsVTypes"/>
</file>