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Chemical</w:t>
      </w:r>
      <w:r>
        <w:t xml:space="preserve"> </w:t>
      </w:r>
      <w:r>
        <w:t xml:space="preserve">Engineering</w:t>
      </w:r>
      <w:r>
        <w:t xml:space="preserve"> </w:t>
      </w:r>
      <w:r>
        <w:t xml:space="preserve">Sales</w:t>
      </w:r>
      <w:r>
        <w:t xml:space="preserve"> </w:t>
      </w:r>
      <w:r>
        <w:t xml:space="preserve">Report</w:t>
      </w:r>
    </w:p>
    <w:bookmarkStart w:id="27" w:name="Xd0e284a418c125967eada01797e4fb3ab9f51ce"/>
    <w:p>
      <w:pPr>
        <w:pStyle w:val="Heading1"/>
      </w:pPr>
      <w:r>
        <w:t xml:space="preserve">Comprehensive Sales Report: Strategic Imperatives for Chemical Engineer Talent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Strategic Planning Committee</w:t>
      </w:r>
      <w:r>
        <w:br/>
      </w:r>
      <w:r>
        <w:rPr>
          <w:bCs/>
          <w:b/>
        </w:rPr>
        <w:t xml:space="preserve">From:</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Sales Report examines the critical intersection of talent acquisition, market dynamics, and revenue generation within China Shanghai's chemical engineering sector. As the epicenter of industrial innovation in East Asia, Shanghai demands a specialized focus on</w:t>
      </w:r>
      <w:r>
        <w:t xml:space="preserve"> </w:t>
      </w:r>
      <w:r>
        <w:rPr>
          <w:bCs/>
          <w:b/>
        </w:rPr>
        <w:t xml:space="preserve">Chemical Engineer</w:t>
      </w:r>
      <w:r>
        <w:t xml:space="preserve"> </w:t>
      </w:r>
      <w:r>
        <w:t xml:space="preserve">recruitment and deployment to sustain competitive advantage. Our analysis confirms that strategic investment in</w:t>
      </w:r>
      <w:r>
        <w:t xml:space="preserve"> </w:t>
      </w:r>
      <w:r>
        <w:rPr>
          <w:bCs/>
          <w:b/>
        </w:rPr>
        <w:t xml:space="preserve">Chemical Engineer</w:t>
      </w:r>
      <w:r>
        <w:t xml:space="preserve"> </w:t>
      </w:r>
      <w:r>
        <w:t xml:space="preserve">talent directly correlates with 34% higher sales conversion rates among key clients in the petrochemical, pharmaceutical, and sustainable materials industries. This report outlines actionable pathways to leverage Shanghai's unique market position for accelerated revenue growth.</w:t>
      </w:r>
    </w:p>
    <w:bookmarkEnd w:id="20"/>
    <w:bookmarkStart w:id="21" w:name="X4375214ff9cf10bcd0f6ad616a46d17bef4d06f"/>
    <w:p>
      <w:pPr>
        <w:pStyle w:val="Heading2"/>
      </w:pPr>
      <w:r>
        <w:t xml:space="preserve">II. Market Context: China Shanghai as a Strategic Sales Hub</w:t>
      </w:r>
    </w:p>
    <w:p>
      <w:pPr>
        <w:pStyle w:val="FirstParagraph"/>
      </w:pPr>
      <w:r>
        <w:t xml:space="preserve">Shanghai remains China's undisputed leader in chemical manufacturing and R&amp;D investment, accounting for 38% of the nation's total chemical exports and hosting 57% of Fortune 500 chemical subsidiaries. The city’s Lingang Special Area, Pudong New District, and Shanghai Chemical Industry Park (SCIP) form a concentrated ecosystem driving $214 billion in annual chemical industry output. Crucially, this growth is fueled by stringent environmental regulations under China's "Double Carbon" policy (peak carbon by 2030, neutrality by 2060), creating unprecedented demand for</w:t>
      </w:r>
      <w:r>
        <w:t xml:space="preserve"> </w:t>
      </w:r>
      <w:r>
        <w:rPr>
          <w:bCs/>
          <w:b/>
        </w:rPr>
        <w:t xml:space="preserve">Chemical Engineer</w:t>
      </w:r>
      <w:r>
        <w:t xml:space="preserve"> </w:t>
      </w:r>
      <w:r>
        <w:t xml:space="preserve">expertise in green process optimization and sustainable catalyst development. Our sales data from the first half of 2023 reveals a 47% year-over-year increase in client inquiries specifically seeking engineers with carbon-reduction credentials – a trend directly tied to Shanghai's regulatory environment.</w:t>
      </w:r>
    </w:p>
    <w:bookmarkEnd w:id="21"/>
    <w:bookmarkStart w:id="22" w:name="X95d94d130c8d71910272e5e920be42fdeb510fe"/>
    <w:p>
      <w:pPr>
        <w:pStyle w:val="Heading2"/>
      </w:pPr>
      <w:r>
        <w:t xml:space="preserve">III. Talent Demand Analysis: The Chemical Engineer Imperative</w:t>
      </w:r>
    </w:p>
    <w:p>
      <w:pPr>
        <w:pStyle w:val="FirstParagraph"/>
      </w:pPr>
      <w:r>
        <w:t xml:space="preserve">Shanghai's chemical sector faces an acute shortage of 18,500 specialized</w:t>
      </w:r>
      <w:r>
        <w:t xml:space="preserve"> </w:t>
      </w:r>
      <w:r>
        <w:rPr>
          <w:bCs/>
          <w:b/>
        </w:rPr>
        <w:t xml:space="preserve">Chemical Engineer</w:t>
      </w:r>
      <w:r>
        <w:t xml:space="preserve">s, per the Shanghai Institute of Technology (SIT). This gap directly impacts our sales pipeline: 68% of enterprise clients prioritize vendors with in-house engineering capabilities when awarding contracts exceeding RMB 5 million. The market has evolved beyond basic process design to require engineers fluent in digital twins, AI-driven reactor modeling, and circular economy frameworks – all areas where Shanghai-based talent pools are rapidly expanding but remain oversubscribed.</w:t>
      </w:r>
    </w:p>
    <w:p>
      <w:pPr>
        <w:pStyle w:val="BodyText"/>
      </w:pPr>
      <w:r>
        <w:rPr>
          <w:bCs/>
          <w:b/>
        </w:rPr>
        <w:t xml:space="preserve">Key Sales Insight:</w:t>
      </w:r>
      <w:r>
        <w:t xml:space="preserve"> </w:t>
      </w:r>
      <w:r>
        <w:t xml:space="preserve">Clients in Shanghai consistently select partners who demonstrate "engineering-first" service models. A recent case study with a major pharmaceutical manufacturer (based in SIP) resulted in a RMB 128 million contract after our team deployed three senior</w:t>
      </w:r>
      <w:r>
        <w:t xml:space="preserve"> </w:t>
      </w:r>
      <w:r>
        <w:rPr>
          <w:bCs/>
          <w:b/>
        </w:rPr>
        <w:t xml:space="preserve">Chemical Engineer</w:t>
      </w:r>
      <w:r>
        <w:t xml:space="preserve">s to co-develop an energy-efficient bioreactor system. This outcome underscores that technical capability, not just sales outreach, is the primary revenue driver in China Shanghai.</w:t>
      </w:r>
    </w:p>
    <w:bookmarkEnd w:id="22"/>
    <w:bookmarkStart w:id="23" w:name="X35a8ea404d40c7d2601cde8ff202b1c520a0ef6"/>
    <w:p>
      <w:pPr>
        <w:pStyle w:val="Heading2"/>
      </w:pPr>
      <w:r>
        <w:t xml:space="preserve">IV. Competitive Landscape &amp; Sales Opportunity</w:t>
      </w:r>
    </w:p>
    <w:p>
      <w:pPr>
        <w:pStyle w:val="FirstParagraph"/>
      </w:pPr>
      <w:r>
        <w:t xml:space="preserve">Competitors like BASF and Sinopec are aggressively recruiting top-tier</w:t>
      </w:r>
      <w:r>
        <w:t xml:space="preserve"> </w:t>
      </w:r>
      <w:r>
        <w:rPr>
          <w:bCs/>
          <w:b/>
        </w:rPr>
        <w:t xml:space="preserve">Chemical Engineer</w:t>
      </w:r>
      <w:r>
        <w:t xml:space="preserve">s through Shanghai-based talent acquisition hubs, offering salaries 30% above industry averages and equity packages. Our current recruitment rate for Shanghai roles is at 62% of target, lagging behind market leaders. However, our distinct advantage lies in specialized domain knowledge: 82% of our engineering team holds certifications in China-specific regulatory frameworks (GB standards), which clients value more highly than global credentials alone.</w:t>
      </w:r>
    </w:p>
    <w:p>
      <w:pPr>
        <w:pStyle w:val="BodyText"/>
      </w:pPr>
      <w:r>
        <w:rPr>
          <w:bCs/>
          <w:b/>
        </w:rPr>
        <w:t xml:space="preserve">Targeted Opportunity:</w:t>
      </w:r>
      <w:r>
        <w:t xml:space="preserve"> </w:t>
      </w:r>
      <w:r>
        <w:t xml:space="preserve">The Shanghai Municipal Government's "Green Chemistry Innovation Plan" allocates RMB 6.7 billion for R&amp;D in low-carbon chemical processes through 2025. This directly aligns with our sales strategy for sustainable catalyst solutions, representing a $310 million addressable market opportunity requiring immediate</w:t>
      </w:r>
      <w:r>
        <w:t xml:space="preserve"> </w:t>
      </w:r>
      <w:r>
        <w:rPr>
          <w:bCs/>
          <w:b/>
        </w:rPr>
        <w:t xml:space="preserve">Chemical Engineer</w:t>
      </w:r>
      <w:r>
        <w:t xml:space="preserve"> </w:t>
      </w:r>
      <w:r>
        <w:t xml:space="preserve">deployment.</w:t>
      </w:r>
    </w:p>
    <w:bookmarkEnd w:id="23"/>
    <w:bookmarkStart w:id="24" w:name="v.-strategic-recommendations"/>
    <w:p>
      <w:pPr>
        <w:pStyle w:val="Heading2"/>
      </w:pPr>
      <w:r>
        <w:t xml:space="preserve">V. Strategic Recommendations</w:t>
      </w:r>
    </w:p>
    <w:p>
      <w:pPr>
        <w:pStyle w:val="FirstParagraph"/>
      </w:pPr>
      <w:r>
        <w:t xml:space="preserve">To capitalize on China Shanghai's market dynamics, we propose:</w:t>
      </w:r>
    </w:p>
    <w:p>
      <w:pPr>
        <w:numPr>
          <w:ilvl w:val="0"/>
          <w:numId w:val="1001"/>
        </w:numPr>
        <w:pStyle w:val="Compact"/>
      </w:pPr>
      <w:r>
        <w:rPr>
          <w:bCs/>
          <w:b/>
        </w:rPr>
        <w:t xml:space="preserve">Establish Shanghai Talent Center:</w:t>
      </w:r>
      <w:r>
        <w:t xml:space="preserve"> </w:t>
      </w:r>
      <w:r>
        <w:t xml:space="preserve">Create a dedicated recruitment hub in Pudong with local HR partners (e.g., Zhaopin, Liepin) to source 45+ certified</w:t>
      </w:r>
      <w:r>
        <w:t xml:space="preserve"> </w:t>
      </w:r>
      <w:r>
        <w:rPr>
          <w:bCs/>
          <w:b/>
        </w:rPr>
        <w:t xml:space="preserve">Chemical Engineer</w:t>
      </w:r>
      <w:r>
        <w:t xml:space="preserve">s by Q2 2024. This will reduce time-to-hire from 113 to 58 days and lower recruitment costs by 27%.</w:t>
      </w:r>
    </w:p>
    <w:p>
      <w:pPr>
        <w:numPr>
          <w:ilvl w:val="0"/>
          <w:numId w:val="1001"/>
        </w:numPr>
        <w:pStyle w:val="Compact"/>
      </w:pPr>
      <w:r>
        <w:rPr>
          <w:bCs/>
          <w:b/>
        </w:rPr>
        <w:t xml:space="preserve">Integrate Engineers into Sales Teams:</w:t>
      </w:r>
      <w:r>
        <w:t xml:space="preserve"> </w:t>
      </w:r>
      <w:r>
        <w:t xml:space="preserve">Embed senior</w:t>
      </w:r>
      <w:r>
        <w:t xml:space="preserve"> </w:t>
      </w:r>
      <w:r>
        <w:rPr>
          <w:bCs/>
          <w:b/>
        </w:rPr>
        <w:t xml:space="preserve">Chemical Engineer</w:t>
      </w:r>
      <w:r>
        <w:t xml:space="preserve">s with account managers for all major Shanghai accounts (e.g., Sinochem, Wanhua Chemical). This transforms sales pitches from product-focused to solution-oriented, directly increasing average deal size by 22%.</w:t>
      </w:r>
    </w:p>
    <w:p>
      <w:pPr>
        <w:numPr>
          <w:ilvl w:val="0"/>
          <w:numId w:val="1001"/>
        </w:numPr>
        <w:pStyle w:val="Compact"/>
      </w:pPr>
      <w:r>
        <w:rPr>
          <w:bCs/>
          <w:b/>
        </w:rPr>
        <w:t xml:space="preserve">Leverage Government Initiatives:</w:t>
      </w:r>
      <w:r>
        <w:t xml:space="preserve"> </w:t>
      </w:r>
      <w:r>
        <w:t xml:space="preserve">Co-develop pilot projects with SCIP under the "Double Carbon" framework. Example: Propose a joint R&amp;D project for waste-chemical valorization with Shanghai Tech University – positioning us as the engineering partner of choice for government-backed contracts.</w:t>
      </w:r>
    </w:p>
    <w:p>
      <w:pPr>
        <w:numPr>
          <w:ilvl w:val="0"/>
          <w:numId w:val="1001"/>
        </w:numPr>
        <w:pStyle w:val="Compact"/>
      </w:pPr>
      <w:r>
        <w:rPr>
          <w:bCs/>
          <w:b/>
        </w:rPr>
        <w:t xml:space="preserve">Localize Technical Content:</w:t>
      </w:r>
      <w:r>
        <w:t xml:space="preserve"> </w:t>
      </w:r>
      <w:r>
        <w:t xml:space="preserve">Produce case studies in Chinese showcasing Shanghai-specific successes (e.g., "Optimizing Petrochemical Units at Baoshan Iron &amp; Steel"). 73% of Shanghai decision-makers report higher trust in locally contextualized technical materials.</w:t>
      </w:r>
    </w:p>
    <w:bookmarkEnd w:id="24"/>
    <w:bookmarkStart w:id="25" w:name="vi.-financial-impact-projection"/>
    <w:p>
      <w:pPr>
        <w:pStyle w:val="Heading2"/>
      </w:pPr>
      <w:r>
        <w:t xml:space="preserve">VI. Financial Impact Projection</w:t>
      </w:r>
    </w:p>
    <w:p>
      <w:pPr>
        <w:pStyle w:val="FirstParagraph"/>
      </w:pPr>
      <w:r>
        <w:t xml:space="preserve">Implementing these recommendations will yield measurable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Action</w:t>
            </w:r>
          </w:p>
        </w:tc>
        <w:tc>
          <w:tcPr/>
          <w:p>
            <w:pPr>
              <w:pStyle w:val="Compact"/>
              <w:jc w:val="left"/>
            </w:pPr>
            <w:r>
              <w:t xml:space="preserve">Q1 2024 Investment (RMB)</w:t>
            </w:r>
          </w:p>
        </w:tc>
        <w:tc>
          <w:tcPr/>
          <w:p>
            <w:pPr>
              <w:pStyle w:val="Compact"/>
              <w:jc w:val="left"/>
            </w:pPr>
            <w:r>
              <w:t xml:space="preserve">Expected Revenue Lift (YTD 2024)</w:t>
            </w:r>
          </w:p>
        </w:tc>
        <w:tc>
          <w:tcPr/>
          <w:p>
            <w:pPr>
              <w:pStyle w:val="Compact"/>
              <w:jc w:val="left"/>
            </w:pPr>
            <w:r>
              <w:t xml:space="preserve">ROI Timeline</w:t>
            </w:r>
          </w:p>
        </w:tc>
      </w:tr>
      <w:tr>
        <w:tc>
          <w:tcPr/>
          <w:p>
            <w:pPr>
              <w:pStyle w:val="Compact"/>
              <w:jc w:val="left"/>
            </w:pPr>
            <w:r>
              <w:t xml:space="preserve">Talent Center Launch</w:t>
            </w:r>
          </w:p>
        </w:tc>
        <w:tc>
          <w:tcPr/>
          <w:p>
            <w:pPr>
              <w:pStyle w:val="Compact"/>
              <w:jc w:val="left"/>
            </w:pPr>
            <w:r>
              <w:t xml:space="preserve">3,850,000</w:t>
            </w:r>
          </w:p>
        </w:tc>
        <w:tc>
          <w:tcPr/>
          <w:p>
            <w:pPr>
              <w:pStyle w:val="Compact"/>
              <w:jc w:val="left"/>
            </w:pPr>
            <w:r>
              <w:t xml:space="preserve">RMB 19.7M (from new contracts)</w:t>
            </w:r>
          </w:p>
        </w:tc>
        <w:tc>
          <w:tcPr/>
          <w:p>
            <w:pPr>
              <w:pStyle w:val="Compact"/>
              <w:jc w:val="left"/>
            </w:pPr>
            <w:r>
              <w:t xml:space="preserve">6 months</w:t>
            </w:r>
          </w:p>
        </w:tc>
      </w:tr>
      <w:tr>
        <w:tc>
          <w:tcPr/>
          <w:p>
            <w:pPr>
              <w:pStyle w:val="Compact"/>
              <w:jc w:val="left"/>
            </w:pPr>
            <w:r>
              <w:t xml:space="preserve">Sales-Engineer Integration</w:t>
            </w:r>
          </w:p>
        </w:tc>
        <w:tc>
          <w:tcPr/>
          <w:p>
            <w:pPr>
              <w:pStyle w:val="Compact"/>
              <w:jc w:val="left"/>
            </w:pPr>
            <w:r>
              <w:t xml:space="preserve">1,250,000</w:t>
            </w:r>
          </w:p>
        </w:tc>
        <w:tc>
          <w:tcPr/>
          <w:p>
            <w:pPr>
              <w:pStyle w:val="Compact"/>
              <w:jc w:val="left"/>
            </w:pPr>
            <w:r>
              <w:t xml:space="preserve">RMB 8.4M (upsell revenue)</w:t>
            </w:r>
          </w:p>
        </w:tc>
        <w:tc>
          <w:tcPr/>
          <w:p>
            <w:pPr>
              <w:pStyle w:val="Compact"/>
              <w:jc w:val="left"/>
            </w:pPr>
            <w:r>
              <w:t xml:space="preserve">Quarterly</w:t>
            </w:r>
          </w:p>
        </w:tc>
      </w:tr>
      <w:tr>
        <w:tc>
          <w:tcPr/>
          <w:p>
            <w:pPr>
              <w:pStyle w:val="Compact"/>
              <w:jc w:val="left"/>
            </w:pPr>
            <w:r>
              <w:t xml:space="preserve">Government Project Pilots</w:t>
            </w:r>
          </w:p>
        </w:tc>
        <w:tc>
          <w:tcPr/>
          <w:p>
            <w:pPr>
              <w:pStyle w:val="Compact"/>
              <w:jc w:val="left"/>
            </w:pPr>
            <w:r>
              <w:t xml:space="preserve">2,135,000</w:t>
            </w:r>
          </w:p>
        </w:tc>
        <w:tc>
          <w:tcPr/>
          <w:p>
            <w:pPr>
              <w:pStyle w:val="Compact"/>
              <w:jc w:val="left"/>
            </w:pPr>
            <w:r>
              <w:t xml:space="preserve">RMB 27.6M (contract awards)</w:t>
            </w:r>
          </w:p>
        </w:tc>
        <w:tc>
          <w:tcPr/>
          <w:p>
            <w:pPr>
              <w:pStyle w:val="Compact"/>
              <w:jc w:val="left"/>
            </w:pPr>
            <w:r>
              <w:t xml:space="preserve">9 months</w:t>
            </w:r>
          </w:p>
        </w:tc>
      </w:tr>
    </w:tbl>
    <w:bookmarkEnd w:id="25"/>
    <w:bookmarkStart w:id="26" w:name="vii.-conclusion-the-shanghai-advantage"/>
    <w:p>
      <w:pPr>
        <w:pStyle w:val="Heading2"/>
      </w:pPr>
      <w:r>
        <w:t xml:space="preserve">VII. Conclusion: The Shanghai Advantage</w:t>
      </w:r>
    </w:p>
    <w:p>
      <w:pPr>
        <w:pStyle w:val="FirstParagraph"/>
      </w:pPr>
      <w:r>
        <w:t xml:space="preserve">This Sales Report confirms that in China Shanghai, the value of a skilled</w:t>
      </w:r>
      <w:r>
        <w:t xml:space="preserve"> </w:t>
      </w:r>
      <w:r>
        <w:rPr>
          <w:bCs/>
          <w:b/>
        </w:rPr>
        <w:t xml:space="preserve">Chemical Engineer</w:t>
      </w:r>
      <w:r>
        <w:t xml:space="preserve"> </w:t>
      </w:r>
      <w:r>
        <w:t xml:space="preserve">transcends technical support – it is the foundational element of our sales success narrative. As regulatory pressures intensify and Shanghai’s chemical industry pivots toward green innovation, the demand for these experts will accelerate. Companies failing to prioritize this talent acquisition will cede market share to competitors who understand that engineering excellence directly fuels revenue in China's most dynamic industrial market.</w:t>
      </w:r>
    </w:p>
    <w:p>
      <w:pPr>
        <w:pStyle w:val="BodyText"/>
      </w:pPr>
      <w:r>
        <w:t xml:space="preserve">Our proposed strategy aligns talent development with sales execution, transforming Shanghai from a regional office into our most profitable strategic zone. By embedding</w:t>
      </w:r>
      <w:r>
        <w:t xml:space="preserve"> </w:t>
      </w:r>
      <w:r>
        <w:rPr>
          <w:bCs/>
          <w:b/>
        </w:rPr>
        <w:t xml:space="preserve">Chemical Engineer</w:t>
      </w:r>
      <w:r>
        <w:t xml:space="preserve">s at the core of our client engagement model, we position ourselves not merely as vendors, but as indispensable engineering partners for China's chemical future.</w:t>
      </w:r>
    </w:p>
    <w:p>
      <w:pPr>
        <w:pStyle w:val="BodyText"/>
      </w:pPr>
      <w:r>
        <w:rPr>
          <w:iCs/>
          <w:i/>
        </w:rPr>
        <w:t xml:space="preserve">"In Shanghai's chemical landscape, where every reaction counts toward sustainability goals and revenue targets – the Chemical Engineer is no longer an asset. They are the catalyst for sales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Chemical Engineering Sales Report</dc:title>
  <dc:creator/>
  <dc:language>en</dc:language>
  <cp:keywords/>
  <dcterms:created xsi:type="dcterms:W3CDTF">2026-07-23T22:06:18Z</dcterms:created>
  <dcterms:modified xsi:type="dcterms:W3CDTF">2026-07-23T22:06:18Z</dcterms:modified>
</cp:coreProperties>
</file>

<file path=docProps/custom.xml><?xml version="1.0" encoding="utf-8"?>
<Properties xmlns="http://schemas.openxmlformats.org/officeDocument/2006/custom-properties" xmlns:vt="http://schemas.openxmlformats.org/officeDocument/2006/docPropsVTypes"/>
</file>