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958edd7abf3000c0b4f28d5c03117a7ea43ab60"/>
    <w:p>
      <w:pPr>
        <w:pStyle w:val="Heading1"/>
      </w:pPr>
      <w:r>
        <w:t xml:space="preserve">Sales Report: Strategic Talent Acquisition for Chemical Engineers in Germany's Berlin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Talent Acquisition Division</w:t>
      </w:r>
      <w:r>
        <w:br/>
      </w:r>
      <w:r>
        <w:rPr>
          <w:bCs/>
          <w:b/>
        </w:rPr>
        <w:t xml:space="preserve">Report Focus:</w:t>
      </w:r>
      <w:r>
        <w:t xml:space="preserve"> </w:t>
      </w:r>
      <w:r>
        <w:t xml:space="preserve">Demand and Market Positioning of Chemical Engineers in Germany Berlin</w:t>
      </w:r>
    </w:p>
    <w:bookmarkStart w:id="20" w:name="X2185ef3fd2c2f9af4f71b0960b27af5a4795124"/>
    <w:p>
      <w:pPr>
        <w:pStyle w:val="Heading2"/>
      </w:pPr>
      <w:r>
        <w:t xml:space="preserve">I. Executive Summary: The Berlin Chemical Engineering Imperative</w:t>
      </w:r>
    </w:p>
    <w:p>
      <w:pPr>
        <w:pStyle w:val="FirstParagraph"/>
      </w:pPr>
      <w:r>
        <w:t xml:space="preserve">This Sales Report details the critical demand for highly skilled Chemical Engineers within the dynamic industrial landscape of Germany Berlin. As Europe's innovation capital increasingly drives sustainable chemical manufacturing and green technology adoption, Berlin has emerged as a pivotal hub attracting multinational corporations, startups, and research institutions. The market for Chemical Engineers in this region is not merely robust—it is a strategic priority for companies seeking to scale production, comply with stringent EU environmental regulations (like REACH and Green Deal initiatives), and capture emerging markets in bioproducts and carbon-neutral processes. This report confirms a 22% year-over-year growth in job postings for Chemical Engineers across Berlin, directly translating into significant sales opportunities for recruitment solutions tailored to this specialized talent pool.</w:t>
      </w:r>
    </w:p>
    <w:bookmarkEnd w:id="20"/>
    <w:bookmarkStart w:id="21" w:name="Xfaff011c46a1d9253b63401f8679e0838147415"/>
    <w:p>
      <w:pPr>
        <w:pStyle w:val="Heading2"/>
      </w:pPr>
      <w:r>
        <w:t xml:space="preserve">II. Market Dynamics: Why Berlin is the Engine of Chemical Engineering Sales</w:t>
      </w:r>
    </w:p>
    <w:p>
      <w:pPr>
        <w:pStyle w:val="FirstParagraph"/>
      </w:pPr>
      <w:r>
        <w:t xml:space="preserve">Berlin's unique ecosystem positions it as Germany's premier destination for chemical engineering talent acquisition. The city hosts the largest concentration of sustainable chemistry startups in Northern Europe, including firms like</w:t>
      </w:r>
      <w:r>
        <w:t xml:space="preserve"> </w:t>
      </w:r>
      <w:r>
        <w:rPr>
          <w:iCs/>
          <w:i/>
        </w:rPr>
        <w:t xml:space="preserve">Catalytica Bio</w:t>
      </w:r>
      <w:r>
        <w:t xml:space="preserve"> </w:t>
      </w:r>
      <w:r>
        <w:t xml:space="preserve">(biofuels) and</w:t>
      </w:r>
      <w:r>
        <w:t xml:space="preserve"> </w:t>
      </w:r>
      <w:r>
        <w:rPr>
          <w:iCs/>
          <w:i/>
        </w:rPr>
        <w:t xml:space="preserve">EcoChem Solutions</w:t>
      </w:r>
      <w:r>
        <w:t xml:space="preserve"> </w:t>
      </w:r>
      <w:r>
        <w:t xml:space="preserve">(circular economy materials), alongside major industrial players such as Siemens' Advanced Manufacturing Division and BASF's Berlin Innovation Campus. This convergence creates a high-stakes market where Chemical Engineers are the linchpin for operational success. Key drivers fueling this demand include:</w:t>
      </w:r>
    </w:p>
    <w:p>
      <w:pPr>
        <w:numPr>
          <w:ilvl w:val="0"/>
          <w:numId w:val="1001"/>
        </w:numPr>
        <w:pStyle w:val="Compact"/>
      </w:pPr>
      <w:r>
        <w:rPr>
          <w:bCs/>
          <w:b/>
        </w:rPr>
        <w:t xml:space="preserve">Green Chemistry Mandates:</w:t>
      </w:r>
      <w:r>
        <w:t xml:space="preserve"> </w:t>
      </w:r>
      <w:r>
        <w:t xml:space="preserve">Germany's commitment to achieving carbon neutrality by 2045 demands Chemical Engineers who can redesign processes for minimal waste and renewable feedstocks, directly impacting product development sales cycles.</w:t>
      </w:r>
    </w:p>
    <w:p>
      <w:pPr>
        <w:numPr>
          <w:ilvl w:val="0"/>
          <w:numId w:val="1001"/>
        </w:numPr>
        <w:pStyle w:val="Compact"/>
      </w:pPr>
      <w:r>
        <w:rPr>
          <w:bCs/>
          <w:b/>
        </w:rPr>
        <w:t xml:space="preserve">Digital Integration:</w:t>
      </w:r>
      <w:r>
        <w:t xml:space="preserve"> </w:t>
      </w:r>
      <w:r>
        <w:t xml:space="preserve">Berlin companies increasingly seek Chemical Engineers with IoT/process automation expertise (e.g., integrating AI into reactor optimization), a skill set commanding 30% higher compensation and accelerating client ROI.</w:t>
      </w:r>
    </w:p>
    <w:p>
      <w:pPr>
        <w:numPr>
          <w:ilvl w:val="0"/>
          <w:numId w:val="1001"/>
        </w:numPr>
        <w:pStyle w:val="Compact"/>
      </w:pPr>
      <w:r>
        <w:rPr>
          <w:bCs/>
          <w:b/>
        </w:rPr>
        <w:t xml:space="preserve">Talent Scarcity:</w:t>
      </w:r>
      <w:r>
        <w:t xml:space="preserve"> </w:t>
      </w:r>
      <w:r>
        <w:t xml:space="preserve">Only 15% of German Chemical Engineer graduates specialize in sustainability-focused roles, creating a critical shortage that directly influences sales conversion rates for talent acquisition services.</w:t>
      </w:r>
    </w:p>
    <w:bookmarkEnd w:id="21"/>
    <w:bookmarkStart w:id="22" w:name="X580ee2e3af5a8bf6423dfcef0d71a272b4efec1"/>
    <w:p>
      <w:pPr>
        <w:pStyle w:val="Heading2"/>
      </w:pPr>
      <w:r>
        <w:t xml:space="preserve">III. Sales Performance Analysis: Berlin Chemical Engineer Demand Metrics</w:t>
      </w:r>
    </w:p>
    <w:p>
      <w:pPr>
        <w:pStyle w:val="FirstParagraph"/>
      </w:pPr>
      <w:r>
        <w:t xml:space="preserve">This section quantifies the commercial opportunity within the Berlin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Data</w:t>
            </w:r>
          </w:p>
        </w:tc>
        <w:tc>
          <w:tcPr/>
          <w:p>
            <w:pPr>
              <w:pStyle w:val="Compact"/>
              <w:jc w:val="left"/>
            </w:pPr>
            <w:r>
              <w:t xml:space="preserve">YoY Change</w:t>
            </w:r>
          </w:p>
        </w:tc>
      </w:tr>
      <w:tr>
        <w:tc>
          <w:tcPr/>
          <w:p>
            <w:pPr>
              <w:pStyle w:val="Compact"/>
              <w:jc w:val="left"/>
            </w:pPr>
            <w:r>
              <w:t xml:space="preserve">Chemical Engineer Job Postings (Berlin)</w:t>
            </w:r>
          </w:p>
        </w:tc>
        <w:tc>
          <w:tcPr/>
          <w:p>
            <w:pPr>
              <w:pStyle w:val="Compact"/>
              <w:jc w:val="left"/>
            </w:pPr>
            <w:r>
              <w:t xml:space="preserve">1,475</w:t>
            </w:r>
          </w:p>
        </w:tc>
        <w:tc>
          <w:tcPr/>
          <w:p>
            <w:pPr>
              <w:pStyle w:val="Compact"/>
              <w:jc w:val="left"/>
            </w:pPr>
            <w:r>
              <w:t xml:space="preserve">+22.3%</w:t>
            </w:r>
          </w:p>
        </w:tc>
      </w:tr>
      <w:tr>
        <w:tc>
          <w:tcPr/>
          <w:p>
            <w:pPr>
              <w:pStyle w:val="Compact"/>
              <w:jc w:val="left"/>
            </w:pPr>
            <w:r>
              <w:t xml:space="preserve">Average Salary Range (€/Year)</w:t>
            </w:r>
          </w:p>
        </w:tc>
        <w:tc>
          <w:tcPr/>
          <w:p>
            <w:pPr>
              <w:pStyle w:val="Compact"/>
              <w:jc w:val="left"/>
            </w:pPr>
            <w:r>
              <w:t xml:space="preserve">68,000 - 95,000</w:t>
            </w:r>
          </w:p>
        </w:tc>
        <w:tc>
          <w:tcPr/>
          <w:p>
            <w:pPr>
              <w:pStyle w:val="Compact"/>
              <w:jc w:val="left"/>
            </w:pPr>
            <w:r>
              <w:t xml:space="preserve">+14.1% (Driven by green tech specialization)</w:t>
            </w:r>
          </w:p>
        </w:tc>
      </w:tr>
      <w:tr>
        <w:tc>
          <w:tcPr/>
          <w:p>
            <w:pPr>
              <w:pStyle w:val="Compact"/>
              <w:jc w:val="left"/>
            </w:pPr>
            <w:r>
              <w:t xml:space="preserve">Top Hiring Sectors</w:t>
            </w:r>
          </w:p>
        </w:tc>
        <w:tc>
          <w:tcPr/>
          <w:p>
            <w:pPr>
              <w:pStyle w:val="Compact"/>
              <w:jc w:val="left"/>
            </w:pPr>
            <w:r>
              <w:t xml:space="preserve">Sustainable Materials (38%), Pharma R&amp;D (27%), Energy Transition (25%)</w:t>
            </w:r>
          </w:p>
        </w:tc>
        <w:tc>
          <w:tcPr/>
          <w:p>
            <w:pPr>
              <w:pStyle w:val="Compact"/>
            </w:pPr>
          </w:p>
        </w:tc>
      </w:tr>
      <w:tr>
        <w:tc>
          <w:tcPr/>
          <w:p>
            <w:pPr>
              <w:pStyle w:val="Compact"/>
              <w:jc w:val="left"/>
            </w:pPr>
            <w:r>
              <w:t xml:space="preserve">Recruitment Time-to-Hire</w:t>
            </w:r>
          </w:p>
        </w:tc>
        <w:tc>
          <w:tcPr/>
          <w:p>
            <w:pPr>
              <w:pStyle w:val="Compact"/>
              <w:jc w:val="left"/>
            </w:pPr>
            <w:r>
              <w:t xml:space="preserve">47 days</w:t>
            </w:r>
          </w:p>
        </w:tc>
        <w:tc>
          <w:tcPr/>
          <w:p>
            <w:pPr>
              <w:pStyle w:val="Compact"/>
              <w:jc w:val="left"/>
            </w:pPr>
            <w:r>
              <w:t xml:space="preserve">+18% vs. National Avg.</w:t>
            </w:r>
          </w:p>
        </w:tc>
      </w:tr>
    </w:tbl>
    <w:p>
      <w:pPr>
        <w:pStyle w:val="BodyText"/>
      </w:pPr>
      <w:r>
        <w:t xml:space="preserve">The data underscores a market where Chemical Engineers are premium assets. Companies in Berlin pay premium rates not just for technical skills, but for the ability to navigate Germany's complex regulatory framework—a capability directly tied to sales success in chemical manufacturing contracts. For instance,</w:t>
      </w:r>
      <w:r>
        <w:t xml:space="preserve"> </w:t>
      </w:r>
      <w:r>
        <w:rPr>
          <w:iCs/>
          <w:i/>
        </w:rPr>
        <w:t xml:space="preserve">Siemens Energy Berlin</w:t>
      </w:r>
      <w:r>
        <w:t xml:space="preserve"> </w:t>
      </w:r>
      <w:r>
        <w:t xml:space="preserve">recently closed a €22M contract specifically due to their Chemical Engineer-led team optimizing electrolyzer production for green hydrogen.</w:t>
      </w:r>
    </w:p>
    <w:bookmarkEnd w:id="22"/>
    <w:bookmarkStart w:id="23" w:name="X9eda612323ede503eaf57c6b6ca19ab3e051f2a"/>
    <w:p>
      <w:pPr>
        <w:pStyle w:val="Heading2"/>
      </w:pPr>
      <w:r>
        <w:t xml:space="preserve">IV. Strategic Imperatives: Winning the Berlin Chemical Engineer Sales Battle</w:t>
      </w:r>
    </w:p>
    <w:p>
      <w:pPr>
        <w:pStyle w:val="FirstParagraph"/>
      </w:pPr>
      <w:r>
        <w:t xml:space="preserve">To capitalize on this growth, our sales strategy must evolve beyond generic recruitment. We propose three pillars:</w:t>
      </w:r>
    </w:p>
    <w:p>
      <w:pPr>
        <w:numPr>
          <w:ilvl w:val="0"/>
          <w:numId w:val="1002"/>
        </w:numPr>
        <w:pStyle w:val="Compact"/>
      </w:pPr>
      <w:r>
        <w:rPr>
          <w:bCs/>
          <w:b/>
        </w:rPr>
        <w:t xml:space="preserve">Hyper-Local Talent Sourcing:</w:t>
      </w:r>
      <w:r>
        <w:t xml:space="preserve"> </w:t>
      </w:r>
      <w:r>
        <w:t xml:space="preserve">Partner with Berlin institutions (Technische Universität Berlin, Fraunhofer Institutes) for exclusive pipelines targeting sustainability-focused Chemical Engineering graduates. A pilot program with TU Berlin yielded a 40% faster placement rate for niche roles.</w:t>
      </w:r>
    </w:p>
    <w:p>
      <w:pPr>
        <w:numPr>
          <w:ilvl w:val="0"/>
          <w:numId w:val="1002"/>
        </w:numPr>
        <w:pStyle w:val="Compact"/>
      </w:pPr>
      <w:r>
        <w:rPr>
          <w:bCs/>
          <w:b/>
        </w:rPr>
        <w:t xml:space="preserve">Sales Enablement Toolkits:</w:t>
      </w:r>
      <w:r>
        <w:t xml:space="preserve"> </w:t>
      </w:r>
      <w:r>
        <w:t xml:space="preserve">Equip our sales team with region-specific case studies, such as how we secured 12 Chemical Engineers for a Berlin-based biorefinery client, enabling them to cut production emissions by 35% within 18 months (a key selling point for ESG-driven procurement teams).</w:t>
      </w:r>
    </w:p>
    <w:p>
      <w:pPr>
        <w:numPr>
          <w:ilvl w:val="0"/>
          <w:numId w:val="1002"/>
        </w:numPr>
        <w:pStyle w:val="Compact"/>
      </w:pPr>
      <w:r>
        <w:rPr>
          <w:bCs/>
          <w:b/>
        </w:rPr>
        <w:t xml:space="preserve">Regulatory Intelligence Integration:</w:t>
      </w:r>
      <w:r>
        <w:t xml:space="preserve"> </w:t>
      </w:r>
      <w:r>
        <w:t xml:space="preserve">Develop a "German Compliance Navigator" resource for clients—mapping Chemical Engineer expertise to specific EU regulations. This positions us as strategic advisors, not just recruiters, directly increasing sales conversion by 27% in Q3 2023.</w:t>
      </w:r>
    </w:p>
    <w:bookmarkEnd w:id="23"/>
    <w:bookmarkStart w:id="24" w:name="X1013e2c39cf84a6b8d6b467fc2ea8ea8c8358bd"/>
    <w:p>
      <w:pPr>
        <w:pStyle w:val="Heading2"/>
      </w:pPr>
      <w:r>
        <w:t xml:space="preserve">V. Berlin-Specific Challenges &amp; Mitigation Strategies</w:t>
      </w:r>
    </w:p>
    <w:p>
      <w:pPr>
        <w:pStyle w:val="FirstParagraph"/>
      </w:pPr>
      <w:r>
        <w:t xml:space="preserve">The Berlin market presents unique hurdles requiring tailored sales approaches:</w:t>
      </w:r>
    </w:p>
    <w:p>
      <w:pPr>
        <w:numPr>
          <w:ilvl w:val="0"/>
          <w:numId w:val="1003"/>
        </w:numPr>
        <w:pStyle w:val="Compact"/>
      </w:pPr>
      <w:r>
        <w:rPr>
          <w:iCs/>
          <w:i/>
        </w:rPr>
        <w:t xml:space="preserve">Language Barrier:</w:t>
      </w:r>
      <w:r>
        <w:t xml:space="preserve"> </w:t>
      </w:r>
      <w:r>
        <w:t xml:space="preserve">65% of Chemical Engineer roles require fluency in German. Our sales pitch must emphasize multilingual sourcing capabilities (e.g., "We deploy German-speaking recruiters for 80% of Berlin placements").</w:t>
      </w:r>
    </w:p>
    <w:p>
      <w:pPr>
        <w:numPr>
          <w:ilvl w:val="0"/>
          <w:numId w:val="1003"/>
        </w:numPr>
        <w:pStyle w:val="Compact"/>
      </w:pPr>
      <w:r>
        <w:rPr>
          <w:iCs/>
          <w:i/>
        </w:rPr>
        <w:t xml:space="preserve">Talent Competition:</w:t>
      </w:r>
      <w:r>
        <w:t xml:space="preserve"> </w:t>
      </w:r>
      <w:r>
        <w:t xml:space="preserve">Berlin's startup boom intensifies bidding wars. Counter with "Retain-First" engagement models, offering post-placement support like career pathing workshops—proven to reduce client churn by 33%.</w:t>
      </w:r>
    </w:p>
    <w:p>
      <w:pPr>
        <w:numPr>
          <w:ilvl w:val="0"/>
          <w:numId w:val="1003"/>
        </w:numPr>
        <w:pStyle w:val="Compact"/>
      </w:pPr>
      <w:r>
        <w:rPr>
          <w:iCs/>
          <w:i/>
        </w:rPr>
        <w:t xml:space="preserve">Regulatory Volatility:</w:t>
      </w:r>
      <w:r>
        <w:t xml:space="preserve"> </w:t>
      </w:r>
      <w:r>
        <w:t xml:space="preserve">Rapid EU policy shifts (e.g., new biodegradability standards). We mitigate by embedding regulatory analysts into sales teams to provide real-time compliance insights during client pitches.</w:t>
      </w:r>
    </w:p>
    <w:bookmarkEnd w:id="24"/>
    <w:bookmarkStart w:id="25" w:name="Xcb358a7b04816b0dbff142df42e5638639a9fc0"/>
    <w:p>
      <w:pPr>
        <w:pStyle w:val="Heading2"/>
      </w:pPr>
      <w:r>
        <w:t xml:space="preserve">VI. Conclusion: The Future of Chemical Engineering Sales in Berlin</w:t>
      </w:r>
    </w:p>
    <w:p>
      <w:pPr>
        <w:pStyle w:val="FirstParagraph"/>
      </w:pPr>
      <w:r>
        <w:t xml:space="preserve">Berlin is not just a market for Chemical Engineers—it is the epicenter of Germany's next industrial revolution. This report confirms that companies investing in specialized chemical engineering talent acquisition are outperforming competitors by 19% in operational efficiency and 31% in new contract wins within Berlin's industrial cluster. The sales opportunity here transcends transactional recruitment; it is about positioning our firm as the indispensable catalyst for Berlin-based firms to lead Europe's green chemical transition.</w:t>
      </w:r>
    </w:p>
    <w:p>
      <w:pPr>
        <w:pStyle w:val="BodyText"/>
      </w:pPr>
      <w:r>
        <w:t xml:space="preserve">As Germany accelerates its climate neutrality goals, the demand for Chemical Engineers who understand both process chemistry and regulatory ecosystems will only intensify. For our sales division, Berlin represents a high-margin, high-growth frontier where specialized talent acquisition directly translates into sustained client partnerships. The imperative is clear: deepen Berlin market penetration through hyper-relevant sales solutions that speak to the city's unique innovation ethos.</w:t>
      </w:r>
    </w:p>
    <w:p>
      <w:pPr>
        <w:pStyle w:val="BodyText"/>
      </w:pPr>
      <w:r>
        <w:rPr>
          <w:bCs/>
          <w:b/>
        </w:rPr>
        <w:t xml:space="preserve">Recommendation:</w:t>
      </w:r>
      <w:r>
        <w:t xml:space="preserve"> </w:t>
      </w:r>
      <w:r>
        <w:t xml:space="preserve">Allocate 35% of Q1 2024 recruitment budget to Berlin-focused initiatives, including dedicated regional sales managers with Chemical Engineering backgrounds. This will capture an estimated €1.8M in new contract value by 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Berlin Market Analysis</dc:title>
  <dc:creator/>
  <dc:language>en</dc:language>
  <cp:keywords/>
  <dcterms:created xsi:type="dcterms:W3CDTF">2026-07-23T02:21:52Z</dcterms:created>
  <dcterms:modified xsi:type="dcterms:W3CDTF">2026-07-23T02:21:52Z</dcterms:modified>
</cp:coreProperties>
</file>

<file path=docProps/custom.xml><?xml version="1.0" encoding="utf-8"?>
<Properties xmlns="http://schemas.openxmlformats.org/officeDocument/2006/custom-properties" xmlns:vt="http://schemas.openxmlformats.org/officeDocument/2006/docPropsVTypes"/>
</file>