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b90ed618bc9cc4ea344290d705d9a6eb07ff1e2"/>
    <w:p>
      <w:pPr>
        <w:pStyle w:val="Heading1"/>
      </w:pPr>
      <w:r>
        <w:t xml:space="preserve">Sales Report: Chemical Engineering Solutions for Industrial Growth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Engineering Consultancy</w:t>
      </w:r>
      <w:r>
        <w:br/>
      </w:r>
      <w:r>
        <w:rPr>
          <w:bCs/>
          <w:b/>
        </w:rPr>
        <w:t xml:space="preserve">Region Covered:</w:t>
      </w:r>
      <w:r>
        <w:t xml:space="preserve"> </w:t>
      </w:r>
      <w:r>
        <w:t xml:space="preserve">Kuwait City, State of Kuwait</w:t>
      </w:r>
    </w:p>
    <w:bookmarkStart w:id="20" w:name="i.-executive-summary"/>
    <w:p>
      <w:pPr>
        <w:pStyle w:val="Heading2"/>
      </w:pPr>
      <w:r>
        <w:t xml:space="preserve">I. Executive Summary</w:t>
      </w:r>
    </w:p>
    <w:p>
      <w:pPr>
        <w:pStyle w:val="FirstParagraph"/>
      </w:pPr>
      <w:r>
        <w:t xml:space="preserve">This Sales Report presents a comprehensive analysis of chemical engineering service demand and revenue performance in the Kuwait City market during Q3 2023. As the industrial backbone of the Gulf region,</w:t>
      </w:r>
      <w:r>
        <w:t xml:space="preserve"> </w:t>
      </w:r>
      <w:r>
        <w:rPr>
          <w:bCs/>
          <w:b/>
        </w:rPr>
        <w:t xml:space="preserve">Kuwait Kuwait City</w:t>
      </w:r>
      <w:r>
        <w:t xml:space="preserve"> </w:t>
      </w:r>
      <w:r>
        <w:t xml:space="preserve">has demonstrated robust growth in petrochemicals, water desalination, and renewable energy infrastructure—creating unprecedented opportunities for specialized</w:t>
      </w:r>
      <w:r>
        <w:t xml:space="preserve"> </w:t>
      </w:r>
      <w:r>
        <w:rPr>
          <w:bCs/>
          <w:b/>
        </w:rPr>
        <w:t xml:space="preserve">Chemical Engineer</w:t>
      </w:r>
      <w:r>
        <w:t xml:space="preserve"> </w:t>
      </w:r>
      <w:r>
        <w:t xml:space="preserve">expertise. Our firm achieved a 22% year-over-year revenue increase in chemical engineering projects within the city, driven by strategic partnerships with Kuwait National Petroleum Company (KNPC) and major industrial developers. This report details market dynamics, sales performance metrics, and actionable recommendations to capitalize on Kuwait City’s evolving energy landscape.</w:t>
      </w:r>
    </w:p>
    <w:bookmarkEnd w:id="20"/>
    <w:bookmarkStart w:id="21" w:name="Xb9770ded6c2f97d3e13b537796f895bf32fa21e"/>
    <w:p>
      <w:pPr>
        <w:pStyle w:val="Heading2"/>
      </w:pPr>
      <w:r>
        <w:t xml:space="preserve">II. Market Context: Why Kuwait City Demands Chemical Engineering Excellence</w:t>
      </w:r>
    </w:p>
    <w:p>
      <w:pPr>
        <w:pStyle w:val="FirstParagraph"/>
      </w:pPr>
      <w:r>
        <w:t xml:space="preserve">Kuwait City stands at the epicenter of the Gulf’s industrial transformation. With Vision 2035 prioritizing economic diversification beyond hydrocarbons, the city has accelerated investments in downstream petrochemical complexes, waste-to-energy plants, and sustainable water systems—all requiring advanced</w:t>
      </w:r>
      <w:r>
        <w:t xml:space="preserve"> </w:t>
      </w:r>
      <w:r>
        <w:rPr>
          <w:bCs/>
          <w:b/>
        </w:rPr>
        <w:t xml:space="preserve">Chemical Engineer</w:t>
      </w:r>
      <w:r>
        <w:t xml:space="preserve"> </w:t>
      </w:r>
      <w:r>
        <w:t xml:space="preserve">capabilities. The Ministry of Oil reports a 37% surge in chemical infrastructure projects since 2021, directly translating to heightened demand for engineers who understand both global best practices and Kuwait-specific regulatory frameworks (e.g., KOC Safety Standards, Kuwaiti Environmental Regulations). In this context, our</w:t>
      </w:r>
      <w:r>
        <w:t xml:space="preserve"> </w:t>
      </w:r>
      <w:r>
        <w:rPr>
          <w:bCs/>
          <w:b/>
        </w:rPr>
        <w:t xml:space="preserve">Sales Report</w:t>
      </w:r>
      <w:r>
        <w:t xml:space="preserve"> </w:t>
      </w:r>
      <w:r>
        <w:t xml:space="preserve">confirms that chemical engineering services are no longer ancillary—they are strategic assets driving national development goals in</w:t>
      </w:r>
      <w:r>
        <w:t xml:space="preserve"> </w:t>
      </w:r>
      <w:r>
        <w:rPr>
          <w:bCs/>
          <w:b/>
        </w:rPr>
        <w:t xml:space="preserve">Kuwait Kuwait City</w:t>
      </w:r>
      <w:r>
        <w:t xml:space="preserve">.</w:t>
      </w:r>
    </w:p>
    <w:bookmarkEnd w:id="21"/>
    <w:bookmarkStart w:id="22" w:name="X7480ebae08f1a8a04eddf04506d0ab7a6d1cac4"/>
    <w:p>
      <w:pPr>
        <w:pStyle w:val="Heading2"/>
      </w:pPr>
      <w:r>
        <w:t xml:space="preserve">III. Sales Performance: Q3 2023 Revenue Breakdown (Kuwait City Focus)</w:t>
      </w:r>
    </w:p>
    <w:p>
      <w:pPr>
        <w:pStyle w:val="FirstParagraph"/>
      </w:pPr>
      <w:r>
        <w:t xml:space="preserve">Project Type</w:t>
      </w:r>
    </w:p>
    <w:p>
      <w:pPr>
        <w:pStyle w:val="BodyText"/>
      </w:pPr>
      <w:r>
        <w:t xml:space="preserve">Revenue (KWD)</w:t>
      </w:r>
    </w:p>
    <w:p>
      <w:pPr>
        <w:pStyle w:val="BodyText"/>
      </w:pPr>
      <w:r>
        <w:t xml:space="preserve">YoY Growth</w:t>
      </w:r>
    </w:p>
    <w:p>
      <w:pPr>
        <w:pStyle w:val="BodyText"/>
      </w:pPr>
      <w:r>
        <w:t xml:space="preserve">Key Clients in Kuwait City</w:t>
      </w:r>
    </w:p>
    <w:p>
      <w:pPr>
        <w:pStyle w:val="BodyText"/>
      </w:pPr>
      <w:r>
        <w:t xml:space="preserve">Petrochemical Plant Optimization</w:t>
      </w:r>
    </w:p>
    <w:p>
      <w:pPr>
        <w:pStyle w:val="BodyText"/>
      </w:pPr>
      <w:r>
        <w:t xml:space="preserve">850,000</w:t>
      </w:r>
    </w:p>
    <w:p>
      <w:pPr>
        <w:pStyle w:val="BodyText"/>
      </w:pPr>
      <w:r>
        <w:t xml:space="preserve">+31%</w:t>
      </w:r>
    </w:p>
    <w:p>
      <w:pPr>
        <w:pStyle w:val="BodyText"/>
      </w:pPr>
      <w:r>
        <w:t xml:space="preserve">KNPC, Al-Zour Refinery</w:t>
      </w:r>
    </w:p>
    <w:p>
      <w:pPr>
        <w:pStyle w:val="BodyText"/>
      </w:pPr>
      <w:r>
        <w:t xml:space="preserve">Desalination Facility Upgrades</w:t>
      </w:r>
    </w:p>
    <w:p>
      <w:pPr>
        <w:pStyle w:val="BodyText"/>
      </w:pPr>
      <w:r>
        <w:t xml:space="preserve">625,000</w:t>
      </w:r>
      <w:r>
        <w:br/>
      </w:r>
    </w:p>
    <w:bookmarkEnd w:id="22"/>
    <w:bookmarkStart w:id="23" w:name="X5a548c3340f4f0d772ca622882cfa9d4acf7f26"/>
    <w:p>
      <w:pPr>
        <w:pStyle w:val="Heading2"/>
      </w:pPr>
      <w:r>
        <w:t xml:space="preserve">IV. Competitive Landscape Analysis: Positioning Our Chemical Engineer Talent</w:t>
      </w:r>
    </w:p>
    <w:p>
      <w:pPr>
        <w:pStyle w:val="FirstParagraph"/>
      </w:pPr>
      <w:r>
        <w:t xml:space="preserve">Kuwait City’s engineering market features intense competition from multinational firms (e.g., Bechtel, Fluor) and regional players like Gulf Engineering Group. However, our distinct advantage lies in localized expertise: 87% of our chemical engineers hold certifications recognized by the Kuwait Society of Engineers (KSE), with deep familiarity of local climate challenges (e.g., sand abrasion on pipelines, extreme heat impact on reaction kinetics). A recent client survey revealed 94% satisfaction among Kuwait City industrial managers who praised our team’s ability to deliver solutions within</w:t>
      </w:r>
      <w:r>
        <w:t xml:space="preserve"> </w:t>
      </w:r>
      <w:r>
        <w:rPr>
          <w:bCs/>
          <w:b/>
        </w:rPr>
        <w:t xml:space="preserve">Kuwait</w:t>
      </w:r>
      <w:r>
        <w:t xml:space="preserve">’s strict permitting timelines—a critical differentiator versus competitors whose global teams lack local operational fluency. This specialization directly fuels our sales momentum, as evidenced by a 40% increase in repeat clients from the city this quarter.</w:t>
      </w:r>
    </w:p>
    <w:bookmarkEnd w:id="23"/>
    <w:bookmarkStart w:id="24" w:name="Xdfd87847bed02e978d3c626cf137c4168e639c7"/>
    <w:p>
      <w:pPr>
        <w:pStyle w:val="Heading2"/>
      </w:pPr>
      <w:r>
        <w:t xml:space="preserve">V. Key Sales Drivers in Kuwait City: Beyond Technical Expertise</w:t>
      </w:r>
    </w:p>
    <w:p>
      <w:pPr>
        <w:pStyle w:val="FirstParagraph"/>
      </w:pPr>
      <w:r>
        <w:t xml:space="preserve">Our success transcends technical skillsets. In the competitive</w:t>
      </w:r>
      <w:r>
        <w:t xml:space="preserve"> </w:t>
      </w:r>
      <w:r>
        <w:rPr>
          <w:bCs/>
          <w:b/>
        </w:rPr>
        <w:t xml:space="preserve">Kuwait Kuwait City</w:t>
      </w:r>
      <w:r>
        <w:t xml:space="preserve"> </w:t>
      </w:r>
      <w:r>
        <w:t xml:space="preserve">market, we’ve pioneered a sales strategy centered on three pillars:</w:t>
      </w:r>
    </w:p>
    <w:p>
      <w:pPr>
        <w:numPr>
          <w:ilvl w:val="0"/>
          <w:numId w:val="1001"/>
        </w:numPr>
        <w:pStyle w:val="Compact"/>
      </w:pPr>
      <w:r>
        <w:rPr>
          <w:bCs/>
          <w:b/>
        </w:rPr>
        <w:t xml:space="preserve">Cultural Integration:</w:t>
      </w:r>
      <w:r>
        <w:t xml:space="preserve"> </w:t>
      </w:r>
      <w:r>
        <w:t xml:space="preserve">All chemical engineering project leads undergo mandatory cultural training to navigate Kuwaiti business protocols (e.g., decision-making hierarchies, Ramadan work adjustments), ensuring seamless client relationships.</w:t>
      </w:r>
    </w:p>
    <w:p>
      <w:pPr>
        <w:numPr>
          <w:ilvl w:val="0"/>
          <w:numId w:val="1001"/>
        </w:numPr>
        <w:pStyle w:val="Compact"/>
      </w:pPr>
      <w:r>
        <w:rPr>
          <w:bCs/>
          <w:b/>
        </w:rPr>
        <w:t xml:space="preserve">Regulatory Navigation:</w:t>
      </w:r>
      <w:r>
        <w:t xml:space="preserve"> </w:t>
      </w:r>
      <w:r>
        <w:t xml:space="preserve">We’ve developed a proprietary database of Kuwaiti environmental permits and safety compliance requirements—reducing project onboarding time by 50% versus industry averages.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we face two critical challenges in the</w:t>
      </w:r>
      <w:r>
        <w:t xml:space="preserve"> </w:t>
      </w:r>
      <w:r>
        <w:rPr>
          <w:bCs/>
          <w:b/>
        </w:rPr>
        <w:t xml:space="preserve">Kuwait Kuwait City</w:t>
      </w:r>
      <w:r>
        <w:t xml:space="preserve"> </w:t>
      </w:r>
      <w:r>
        <w:t xml:space="preserve">market:</w:t>
      </w:r>
    </w:p>
    <w:p>
      <w:pPr>
        <w:numPr>
          <w:ilvl w:val="0"/>
          <w:numId w:val="1002"/>
        </w:numPr>
        <w:pStyle w:val="Compact"/>
      </w:pPr>
      <w:r>
        <w:rPr>
          <w:iCs/>
          <w:i/>
        </w:rPr>
        <w:t xml:space="preserve">Talent Acquisition Pressure:</w:t>
      </w:r>
      <w:r>
        <w:t xml:space="preserve"> </w:t>
      </w:r>
      <w:r>
        <w:t xml:space="preserve">Demand for certified Chemical Engineers exceeds supply by 35%. Our sales pipeline reveals that 68% of client inquiries are delayed due to engineering resource gaps.</w:t>
      </w:r>
    </w:p>
    <w:p>
      <w:pPr>
        <w:numPr>
          <w:ilvl w:val="0"/>
          <w:numId w:val="1002"/>
        </w:numPr>
        <w:pStyle w:val="Compact"/>
      </w:pPr>
      <w:r>
        <w:rPr>
          <w:iCs/>
          <w:i/>
        </w:rPr>
        <w:t xml:space="preserve">Supply Chain Volatility:</w:t>
      </w:r>
      <w:r>
        <w:t xml:space="preserve"> </w:t>
      </w:r>
      <w:r>
        <w:t xml:space="preserve">Global material shortages impact project timelines, particularly for specialized chemical reactors used in Kuwait’s new ammonia-based fuel plants.</w:t>
      </w:r>
    </w:p>
    <w:p>
      <w:pPr>
        <w:pStyle w:val="FirstParagraph"/>
      </w:pPr>
      <w:r>
        <w:rPr>
          <w:bCs/>
          <w:b/>
        </w:rPr>
        <w:t xml:space="preserve">Actionable Recommendations:</w:t>
      </w:r>
    </w:p>
    <w:p>
      <w:pPr>
        <w:numPr>
          <w:ilvl w:val="0"/>
          <w:numId w:val="1003"/>
        </w:numPr>
        <w:pStyle w:val="Compact"/>
      </w:pPr>
      <w:r>
        <w:t xml:space="preserve">Establish a dedicated recruitment hub in Kuwait City focused on attracting local engineering graduates from Kuwait University and SABIC Institute, with tuition support programs to build long-term talent pipelines.</w:t>
      </w:r>
    </w:p>
    <w:p>
      <w:pPr>
        <w:numPr>
          <w:ilvl w:val="0"/>
          <w:numId w:val="1003"/>
        </w:numPr>
        <w:pStyle w:val="Compact"/>
      </w:pPr>
      <w:r>
        <w:t xml:space="preserve">Form strategic alliances with UAE-based chemical equipment suppliers to bypass global shipping bottlenecks—securing preferential rates for projects in</w:t>
      </w:r>
      <w:r>
        <w:t xml:space="preserve"> </w:t>
      </w:r>
      <w:r>
        <w:rPr>
          <w:bCs/>
          <w:b/>
        </w:rPr>
        <w:t xml:space="preserve">Kuwait City</w:t>
      </w:r>
      <w:r>
        <w:t xml:space="preserve">.</w:t>
      </w:r>
    </w:p>
    <w:p>
      <w:pPr>
        <w:numPr>
          <w:ilvl w:val="0"/>
          <w:numId w:val="1003"/>
        </w:numPr>
        <w:pStyle w:val="Compact"/>
      </w:pPr>
      <w:r>
        <w:t xml:space="preserve">Launch a "Chemical Engineer Excellence" certification program co-developed with KSE, positioning our firm as the authority on Kuwaiti industry standards to dominate future sales cycles.</w:t>
      </w:r>
    </w:p>
    <w:bookmarkEnd w:id="25"/>
    <w:bookmarkStart w:id="26" w:name="X2bbb04477e7fb0b8b0ba48201c35dfe6b85797c"/>
    <w:p>
      <w:pPr>
        <w:pStyle w:val="Heading2"/>
      </w:pPr>
      <w:r>
        <w:t xml:space="preserve">VII. Future Outlook: Capitalizing on Kuwait City’s Energy Transition</w:t>
      </w:r>
    </w:p>
    <w:p>
      <w:pPr>
        <w:pStyle w:val="FirstParagraph"/>
      </w:pPr>
      <w:r>
        <w:t xml:space="preserve">Kuwait City’s $15 billion investment in green hydrogen and carbon capture projects over the next five years represents a seismic opportunity for chemical engineering services. Our Q4 sales forecast indicates 30% growth potential, with major contracts underway at the Al-Wafra Solar Park (chemical process integration) and Kuwait International Airport’s new sustainable fuel terminal. As one client executive noted: "The</w:t>
      </w:r>
      <w:r>
        <w:t xml:space="preserve"> </w:t>
      </w:r>
      <w:r>
        <w:rPr>
          <w:bCs/>
          <w:b/>
        </w:rPr>
        <w:t xml:space="preserve">Chemical Engineer</w:t>
      </w:r>
      <w:r>
        <w:t xml:space="preserve"> </w:t>
      </w:r>
      <w:r>
        <w:t xml:space="preserve">isn’t just a resource—they’re the architect of Kuwait’s industrial future." This sentiment is driving our sales strategy toward proactive partnership development, not transactional service delivery.</w:t>
      </w:r>
    </w:p>
    <w:bookmarkEnd w:id="26"/>
    <w:bookmarkStart w:id="27" w:name="viii.-conclusion"/>
    <w:p>
      <w:pPr>
        <w:pStyle w:val="Heading2"/>
      </w:pPr>
      <w:r>
        <w:t xml:space="preserve">VIII. Conclusion</w:t>
      </w:r>
    </w:p>
    <w:p>
      <w:pPr>
        <w:pStyle w:val="FirstParagraph"/>
      </w:pPr>
      <w:r>
        <w:t xml:space="preserve">The data in this</w:t>
      </w:r>
      <w:r>
        <w:t xml:space="preserve"> </w:t>
      </w:r>
      <w:r>
        <w:rPr>
          <w:bCs/>
          <w:b/>
        </w:rPr>
        <w:t xml:space="preserve">Sales Report</w:t>
      </w:r>
      <w:r>
        <w:t xml:space="preserve"> </w:t>
      </w:r>
      <w:r>
        <w:t xml:space="preserve">unequivocally demonstrates that chemical engineering expertise is the cornerstone of industrial advancement in</w:t>
      </w:r>
      <w:r>
        <w:t xml:space="preserve"> </w:t>
      </w:r>
      <w:r>
        <w:rPr>
          <w:bCs/>
          <w:b/>
        </w:rPr>
        <w:t xml:space="preserve">Kuwait Kuwait City</w:t>
      </w:r>
      <w:r>
        <w:t xml:space="preserve">. Our 22% revenue growth reflects not just market demand, but the strategic value we deliver through culturally attuned, compliance-ready solutions. As Kuwait’s economy diversifies at an accelerating pace, our ability to deploy highly specialized Chemical Engineers will determine whether we lead or follow in this pivotal market. We recommend immediate investment in local talent development and supply chain resilience to sustain momentum through 2024 and beyond.</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sales.gulf@engineeringconsultancy.com | +965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Engineering Services in Kuwait City</dc:title>
  <dc:creator/>
  <dc:language>en</dc:language>
  <cp:keywords/>
  <dcterms:created xsi:type="dcterms:W3CDTF">2026-07-21T14:51:45Z</dcterms:created>
  <dcterms:modified xsi:type="dcterms:W3CDTF">2026-07-21T14:51:45Z</dcterms:modified>
</cp:coreProperties>
</file>

<file path=docProps/custom.xml><?xml version="1.0" encoding="utf-8"?>
<Properties xmlns="http://schemas.openxmlformats.org/officeDocument/2006/custom-properties" xmlns:vt="http://schemas.openxmlformats.org/officeDocument/2006/docPropsVTypes"/>
</file>