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Services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88969572ad69807853796e8b3f11064facf9dcd"/>
    <w:p>
      <w:pPr>
        <w:pStyle w:val="Heading1"/>
      </w:pPr>
      <w:r>
        <w:t xml:space="preserve">Sales Report: Chemical Engineer Services in Malaysia Kuala Lumpur</w:t>
      </w:r>
    </w:p>
    <w:p>
      <w:pPr>
        <w:pStyle w:val="FirstParagraph"/>
      </w:pPr>
      <w:r>
        <w:t xml:space="preserve">Quarterly Performance Analysis &amp; Strategic Outlook</w:t>
      </w:r>
    </w:p>
    <w:p>
      <w:pPr>
        <w:pStyle w:val="BodyText"/>
      </w:pPr>
      <w:r>
        <w:t xml:space="preserve">Prepared for: Malaysian Industrial Solutions Group | Date: October 26, 2023</w:t>
      </w:r>
    </w:p>
    <w:bookmarkEnd w:id="20"/>
    <w:bookmarkStart w:id="21" w:name="executive-summary"/>
    <w:p>
      <w:pPr>
        <w:pStyle w:val="Heading2"/>
      </w:pPr>
      <w:r>
        <w:t xml:space="preserve">Executive Summary</w:t>
      </w:r>
    </w:p>
    <w:p>
      <w:pPr>
        <w:pStyle w:val="FirstParagraph"/>
      </w:pPr>
      <w:r>
        <w:t xml:space="preserve">This comprehensive Sales Report details the performance of Chemical Engineer service offerings across Malaysia Kuala Lumpur during Q3 2023. As the economic hub of Southeast Asia, Kuala Lumpur continues to drive demand for specialized chemical engineering solutions in petrochemicals, pharmaceuticals, and sustainable manufacturing sectors. The report confirms a 17.5% year-over-year growth in service contracts, with Chemical Engineers serving as the critical technical bridge between client needs and innovative solutions. This document underscores how our strategic focus on Malaysia Kuala Lumpur has positioned us at the forefront of regional chemical engineering excellence.</w:t>
      </w:r>
    </w:p>
    <w:bookmarkEnd w:id="21"/>
    <w:bookmarkStart w:id="22" w:name="key-performance-metrics-q3-2023"/>
    <w:p>
      <w:pPr>
        <w:pStyle w:val="Heading2"/>
      </w:pPr>
      <w:r>
        <w:t xml:space="preserve">Key Performance Metrics (Q3 2023)</w:t>
      </w:r>
    </w:p>
    <w:p>
      <w:pPr>
        <w:pStyle w:val="FirstParagraph"/>
      </w:pPr>
      <w:r>
        <w:t xml:space="preserve">Our Chemical Engineer-led sales initiatives achieved significant milestones in Malaysia Kuala Lumpur, reflected in these key metrics:</w:t>
      </w:r>
    </w:p>
    <w:p>
      <w:pPr>
        <w:numPr>
          <w:ilvl w:val="0"/>
          <w:numId w:val="1001"/>
        </w:numPr>
        <w:pStyle w:val="Compact"/>
      </w:pPr>
      <w:r>
        <w:rPr>
          <w:bCs/>
          <w:b/>
        </w:rPr>
        <w:t xml:space="preserve">Revenue Growth:</w:t>
      </w:r>
      <w:r>
        <w:t xml:space="preserve"> </w:t>
      </w:r>
      <w:r>
        <w:t xml:space="preserve">RM 14.8 million (17.5% YoY increase), driven by major contracts with PETRONAS and local pharmaceutical manufacturers</w:t>
      </w:r>
    </w:p>
    <w:p>
      <w:pPr>
        <w:numPr>
          <w:ilvl w:val="0"/>
          <w:numId w:val="1001"/>
        </w:numPr>
        <w:pStyle w:val="Compact"/>
      </w:pPr>
      <w:r>
        <w:rPr>
          <w:bCs/>
          <w:b/>
        </w:rPr>
        <w:t xml:space="preserve">New Client Acquisition:</w:t>
      </w:r>
      <w:r>
        <w:t xml:space="preserve"> </w:t>
      </w:r>
      <w:r>
        <w:t xml:space="preserve">22 new accounts in Kuala Lumpur, including 3 Fortune 500 multinationals expanding operations in the Klang Valley</w:t>
      </w:r>
    </w:p>
    <w:p>
      <w:pPr>
        <w:numPr>
          <w:ilvl w:val="0"/>
          <w:numId w:val="1001"/>
        </w:numPr>
        <w:pStyle w:val="Compact"/>
      </w:pPr>
      <w:r>
        <w:t xml:space="preserve">Chemical Engineer engagement increased by 34% across petrochemical clients, with 89% client satisfaction rate</w:t>
      </w:r>
    </w:p>
    <w:p>
      <w:pPr>
        <w:numPr>
          <w:ilvl w:val="0"/>
          <w:numId w:val="1001"/>
        </w:numPr>
        <w:pStyle w:val="Compact"/>
      </w:pPr>
      <w:r>
        <w:t xml:space="preserve">RM 28.7 million in active proposals for Chemical Engineer services, targeting industrial expansion zones in Shah Alam and Cyberjaya</w:t>
      </w:r>
    </w:p>
    <w:bookmarkEnd w:id="22"/>
    <w:bookmarkStart w:id="23" w:name="Xf0a932f97920f83e19419fab97a6342a091d84f"/>
    <w:p>
      <w:pPr>
        <w:pStyle w:val="Heading2"/>
      </w:pPr>
      <w:r>
        <w:t xml:space="preserve">Market Analysis: Malaysia Kuala Lumpur Focus</w:t>
      </w:r>
    </w:p>
    <w:p>
      <w:pPr>
        <w:pStyle w:val="FirstParagraph"/>
      </w:pPr>
      <w:r>
        <w:t xml:space="preserve">Kuala Lumpur's strategic position as the chemical industry capital of Malaysia creates unique opportunities for Chemical Engineers. The government's National Chemical Industry Master Plan 2030 and initiatives like the Kuala Lumpur Sustainable Manufacturing Hub have intensified demand. Our data shows:</w:t>
      </w:r>
    </w:p>
    <w:p>
      <w:pPr>
        <w:pStyle w:val="BodyText"/>
      </w:pPr>
      <w:r>
        <w:rPr>
          <w:bCs/>
          <w:b/>
        </w:rPr>
        <w:t xml:space="preserve">Petrochemical Sector:</w:t>
      </w:r>
      <w:r>
        <w:t xml:space="preserve"> </w:t>
      </w:r>
      <w:r>
        <w:t xml:space="preserve">68% of sales growth came from PETRONAS Complex expansion projects, where our Chemical Engineers delivered process optimization solutions that reduced operational costs by 22%. A recent RM 4.2M contract with Petronas Carigali for catalyst system upgrades exemplifies this trend.</w:t>
      </w:r>
    </w:p>
    <w:p>
      <w:pPr>
        <w:pStyle w:val="BodyText"/>
      </w:pPr>
      <w:r>
        <w:rPr>
          <w:bCs/>
          <w:b/>
        </w:rPr>
        <w:t xml:space="preserve">Pharmaceutical Innovation:</w:t>
      </w:r>
      <w:r>
        <w:t xml:space="preserve"> </w:t>
      </w:r>
      <w:r>
        <w:t xml:space="preserve">With Malaysia's pharmaceutical sector growing at 15.3% annually (ASEAN Health Report), our Chemical Engineers secured contracts with five major manufacturers in KL to implement green synthesis techniques, cutting waste by 31% and accelerating FDA compliance.</w:t>
      </w:r>
    </w:p>
    <w:p>
      <w:pPr>
        <w:pStyle w:val="BodyText"/>
      </w:pPr>
      <w:r>
        <w:rPr>
          <w:bCs/>
          <w:b/>
        </w:rPr>
        <w:t xml:space="preserve">Sustainability Imperative:</w:t>
      </w:r>
      <w:r>
        <w:t xml:space="preserve"> </w:t>
      </w:r>
      <w:r>
        <w:t xml:space="preserve">The Malaysian Green Technology Master Plan directly influenced 42% of new sales. Our Chemical Engineer teams developed carbon capture systems for KL-based refineries, resulting in two major contracts with total value exceeding RM 9.5M.</w:t>
      </w:r>
    </w:p>
    <w:bookmarkEnd w:id="23"/>
    <w:bookmarkStart w:id="24" w:name="X8697aae0064a9021bbf3ffb80f44517b8a8f8d3"/>
    <w:p>
      <w:pPr>
        <w:pStyle w:val="Heading2"/>
      </w:pPr>
      <w:r>
        <w:t xml:space="preserve">Strategic Value of Chemical Engineers in Kuala Lumpur's Market</w:t>
      </w:r>
    </w:p>
    <w:p>
      <w:pPr>
        <w:pStyle w:val="FirstParagraph"/>
      </w:pPr>
      <w:r>
        <w:t xml:space="preserve">Unlike generic service providers, our Chemical Engineers deliver unparalleled technical value in Malaysia Kuala Lumpur's complex industrial landscape. They serve as:</w:t>
      </w:r>
    </w:p>
    <w:p>
      <w:pPr>
        <w:numPr>
          <w:ilvl w:val="0"/>
          <w:numId w:val="1002"/>
        </w:numPr>
        <w:pStyle w:val="Compact"/>
      </w:pPr>
      <w:r>
        <w:rPr>
          <w:bCs/>
          <w:b/>
        </w:rPr>
        <w:t xml:space="preserve">Cultural Navigators:</w:t>
      </w:r>
      <w:r>
        <w:t xml:space="preserve"> </w:t>
      </w:r>
      <w:r>
        <w:t xml:space="preserve">Understanding local regulations (e.g., DOSH safety standards) and business practices to accelerate project timelines by 28%</w:t>
      </w:r>
    </w:p>
    <w:p>
      <w:pPr>
        <w:numPr>
          <w:ilvl w:val="0"/>
          <w:numId w:val="1002"/>
        </w:numPr>
        <w:pStyle w:val="Compact"/>
      </w:pPr>
      <w:r>
        <w:rPr>
          <w:bCs/>
          <w:b/>
        </w:rPr>
        <w:t xml:space="preserve">Innovation Catalysts:</w:t>
      </w:r>
      <w:r>
        <w:t xml:space="preserve"> </w:t>
      </w:r>
      <w:r>
        <w:t xml:space="preserve">Developing proprietary processes like the "KL Bio-Refinery Model" for palm oil derivatives, adopted by 3 major agrochemical firms</w:t>
      </w:r>
    </w:p>
    <w:p>
      <w:pPr>
        <w:numPr>
          <w:ilvl w:val="0"/>
          <w:numId w:val="1002"/>
        </w:numPr>
        <w:pStyle w:val="Compact"/>
      </w:pPr>
      <w:r>
        <w:rPr>
          <w:bCs/>
          <w:b/>
        </w:rPr>
        <w:t xml:space="preserve">Talent Multipliers:</w:t>
      </w:r>
      <w:r>
        <w:t xml:space="preserve"> </w:t>
      </w:r>
      <w:r>
        <w:t xml:space="preserve">Training local engineering talent – 76% of our field staff are Malaysian Chemical Engineers with KL-based certifications</w:t>
      </w:r>
    </w:p>
    <w:p>
      <w:pPr>
        <w:pStyle w:val="FirstParagraph"/>
      </w:pPr>
      <w:r>
        <w:t xml:space="preserve">The Sales Report emphasizes that client decisions in Malaysia Kuala Lumpur increasingly prioritize technical expertise over price alone. A recent client survey showed 91% of procurement managers consider Chemical Engineer credentials as the #1 factor in vendor selection – a critical differentiator we've leveraged through our KL-based technical team.</w:t>
      </w:r>
    </w:p>
    <w:bookmarkEnd w:id="24"/>
    <w:bookmarkStart w:id="25" w:name="challenges-and-mitigation-strategies"/>
    <w:p>
      <w:pPr>
        <w:pStyle w:val="Heading2"/>
      </w:pPr>
      <w:r>
        <w:t xml:space="preserve">Challenges and Mitigation Strategies</w:t>
      </w:r>
    </w:p>
    <w:p>
      <w:pPr>
        <w:pStyle w:val="FirstParagraph"/>
      </w:pPr>
      <w:r>
        <w:t xml:space="preserve">Despite strong performance, two challenges emerged requiring targeted response:</w:t>
      </w:r>
    </w:p>
    <w:p>
      <w:pPr>
        <w:numPr>
          <w:ilvl w:val="0"/>
          <w:numId w:val="1003"/>
        </w:numPr>
        <w:pStyle w:val="Compact"/>
      </w:pPr>
      <w:r>
        <w:rPr>
          <w:bCs/>
          <w:b/>
        </w:rPr>
        <w:t xml:space="preserve">Talent Competition in Kuala Lumpur:</w:t>
      </w:r>
      <w:r>
        <w:t xml:space="preserve"> </w:t>
      </w:r>
      <w:r>
        <w:t xml:space="preserve">Intense competition for certified Chemical Engineers from PETRONAS and multinational R&amp;D centers. *Mitigation:* Launched "KL ChemTech Scholarship" with Universiti Teknologi Malaysia, securing 15 new graduates for 2024.</w:t>
      </w:r>
    </w:p>
    <w:p>
      <w:pPr>
        <w:numPr>
          <w:ilvl w:val="0"/>
          <w:numId w:val="1003"/>
        </w:numPr>
        <w:pStyle w:val="Compact"/>
      </w:pPr>
      <w:r>
        <w:rPr>
          <w:bCs/>
          <w:b/>
        </w:rPr>
        <w:t xml:space="preserve">Currency Volatility:</w:t>
      </w:r>
      <w:r>
        <w:t xml:space="preserve"> </w:t>
      </w:r>
      <w:r>
        <w:t xml:space="preserve">FX fluctuations affecting project profitability in USD-denominated contracts. *Mitigation:* Implemented dynamic pricing models with Chemical Engineer cost analysis embedded in client proposals.</w:t>
      </w:r>
    </w:p>
    <w:bookmarkEnd w:id="25"/>
    <w:bookmarkStart w:id="26" w:name="strategic-recommendations-for-q4-2023"/>
    <w:p>
      <w:pPr>
        <w:pStyle w:val="Heading2"/>
      </w:pPr>
      <w:r>
        <w:t xml:space="preserve">Strategic Recommendations for Q4 2023</w:t>
      </w:r>
    </w:p>
    <w:p>
      <w:pPr>
        <w:pStyle w:val="FirstParagraph"/>
      </w:pPr>
      <w:r>
        <w:t xml:space="preserve">To sustain momentum as a leader in Chemical Engineer services across Malaysia Kuala Lumpur, we recommend:</w:t>
      </w:r>
    </w:p>
    <w:p>
      <w:pPr>
        <w:numPr>
          <w:ilvl w:val="0"/>
          <w:numId w:val="1004"/>
        </w:numPr>
        <w:pStyle w:val="Compact"/>
      </w:pPr>
      <w:r>
        <w:rPr>
          <w:bCs/>
          <w:b/>
        </w:rPr>
        <w:t xml:space="preserve">Expand KL Technical Center:</w:t>
      </w:r>
      <w:r>
        <w:t xml:space="preserve"> </w:t>
      </w:r>
      <w:r>
        <w:t xml:space="preserve">Allocate RM 1.5M to establish specialized labs at our Kuala Lumpur office for real-time process simulation – directly addressing 63% of client requests for "in-house validation".</w:t>
      </w:r>
    </w:p>
    <w:p>
      <w:pPr>
        <w:numPr>
          <w:ilvl w:val="0"/>
          <w:numId w:val="1004"/>
        </w:numPr>
        <w:pStyle w:val="Compact"/>
      </w:pPr>
      <w:r>
        <w:rPr>
          <w:bCs/>
          <w:b/>
        </w:rPr>
        <w:t xml:space="preserve">Target High-Growth Sectors:</w:t>
      </w:r>
      <w:r>
        <w:t xml:space="preserve"> </w:t>
      </w:r>
      <w:r>
        <w:t xml:space="preserve">Prioritize contracts in KL's emerging battery manufacturing cluster (supported by Malaysian Industrial Development Authority) where Chemical Engineers are pivotal for electrolyte development.</w:t>
      </w:r>
    </w:p>
    <w:p>
      <w:pPr>
        <w:numPr>
          <w:ilvl w:val="0"/>
          <w:numId w:val="1004"/>
        </w:numPr>
        <w:pStyle w:val="Compact"/>
      </w:pPr>
      <w:r>
        <w:rPr>
          <w:bCs/>
          <w:b/>
        </w:rPr>
        <w:t xml:space="preserve">Develop Malaysia-Specific Certifications:</w:t>
      </w:r>
      <w:r>
        <w:t xml:space="preserve"> </w:t>
      </w:r>
      <w:r>
        <w:t xml:space="preserve">Partner with Jabatan Teknologi Profesional to create "Malaysia Chemical Engineering Certification" – expected to increase sales conversion rates by 25%.</w:t>
      </w:r>
    </w:p>
    <w:bookmarkEnd w:id="26"/>
    <w:bookmarkStart w:id="27" w:name="Xe846a0ca4459672e095cc267cb1bce98b321703"/>
    <w:p>
      <w:pPr>
        <w:pStyle w:val="Heading2"/>
      </w:pPr>
      <w:r>
        <w:t xml:space="preserve">Conclusion: The Future of Sales in Kuala Lumpur</w:t>
      </w:r>
    </w:p>
    <w:p>
      <w:pPr>
        <w:pStyle w:val="FirstParagraph"/>
      </w:pPr>
      <w:r>
        <w:t xml:space="preserve">This Sales Report confirms that Chemical Engineers are not merely service providers but strategic assets driving growth in Malaysia Kuala Lumpur's industrial ecosystem. Our Q3 performance demonstrates how deep technical expertise, localized understanding, and sustainable innovation directly correlate with revenue growth. As the KL economic corridor expands through initiatives like the Greater KL Economic Corridor (GKLEC), our Chemical Engineer teams will be instrumental in capturing market share from regional competitors.</w:t>
      </w:r>
    </w:p>
    <w:p>
      <w:pPr>
        <w:pStyle w:val="BodyText"/>
      </w:pPr>
      <w:r>
        <w:t xml:space="preserve">The data unequivocally shows that for any company operating in Malaysia Kuala Lumpur, investing in specialized Chemical Engineer capabilities is no longer optional – it's the foundation of competitive sales success. We project a 22% revenue increase for Q4 through these targeted strategies, with Chemical Engineer-led services representing 78% of all new contracts. As we continue to build our reputation as the premier provider of Chemical Engineer solutions in Malaysia Kuala Lumpur, this Sales Report serves as both an accomplishment and a roadmap for sustained leadership.</w:t>
      </w:r>
    </w:p>
    <w:p>
      <w:pPr>
        <w:pStyle w:val="BodyText"/>
      </w:pPr>
      <w:r>
        <w:rPr>
          <w:bCs/>
          <w:b/>
        </w:rPr>
        <w:t xml:space="preserve">Prepared by:</w:t>
      </w:r>
      <w:r>
        <w:t xml:space="preserve"> </w:t>
      </w:r>
      <w:r>
        <w:t xml:space="preserve">Regional Sales Leadership | Malaysian Industrial Solutions Group</w:t>
      </w:r>
      <w:r>
        <w:br/>
      </w:r>
      <w:r>
        <w:rPr>
          <w:bCs/>
          <w:b/>
        </w:rPr>
        <w:t xml:space="preserve">Contact:</w:t>
      </w:r>
      <w:r>
        <w:t xml:space="preserve"> </w:t>
      </w:r>
      <w:r>
        <w:t xml:space="preserve">sales.kl@mis-group.my | +603-1234 5678</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Services in Malaysia Kuala Lumpur</dc:title>
  <dc:creator/>
  <dc:language>en</dc:language>
  <cp:keywords/>
  <dcterms:created xsi:type="dcterms:W3CDTF">2026-07-21T14:53:04Z</dcterms:created>
  <dcterms:modified xsi:type="dcterms:W3CDTF">2026-07-21T14:53:04Z</dcterms:modified>
</cp:coreProperties>
</file>

<file path=docProps/custom.xml><?xml version="1.0" encoding="utf-8"?>
<Properties xmlns="http://schemas.openxmlformats.org/officeDocument/2006/custom-properties" xmlns:vt="http://schemas.openxmlformats.org/officeDocument/2006/docPropsVTypes"/>
</file>