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Demand</w:t>
      </w:r>
      <w:r>
        <w:t xml:space="preserve"> </w:t>
      </w:r>
      <w:r>
        <w:t xml:space="preserve">&amp;</w:t>
      </w:r>
      <w:r>
        <w:t xml:space="preserve"> </w:t>
      </w:r>
      <w:r>
        <w:t xml:space="preserve">Market</w:t>
      </w:r>
      <w:r>
        <w:t xml:space="preserve"> </w:t>
      </w:r>
      <w:r>
        <w:t xml:space="preserve">Strategy</w:t>
      </w:r>
      <w:r>
        <w:t xml:space="preserve"> </w:t>
      </w:r>
      <w:r>
        <w:t xml:space="preserve">in</w:t>
      </w:r>
      <w:r>
        <w:t xml:space="preserve"> </w:t>
      </w:r>
      <w:r>
        <w:t xml:space="preserve">Netherlands</w:t>
      </w:r>
      <w:r>
        <w:t xml:space="preserve"> </w:t>
      </w:r>
      <w:r>
        <w:t xml:space="preserve">Amsterdam</w:t>
      </w:r>
    </w:p>
    <w:bookmarkStart w:id="28" w:name="Xf1cab3bc0a7df40c446e5546e83947758ae0aee"/>
    <w:p>
      <w:pPr>
        <w:pStyle w:val="Heading1"/>
      </w:pPr>
      <w:r>
        <w:t xml:space="preserve">Comprehensive Sales Report: Strategic Market Analysis for Chemical Engineers in the Netherlands (Amsterdam Focus)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Business Development Team</w:t>
      </w:r>
      <w:r>
        <w:br/>
      </w:r>
      <w:r>
        <w:rPr>
          <w:bCs/>
          <w:b/>
        </w:rPr>
        <w:t xml:space="preserve">Prepared By:</w:t>
      </w:r>
      <w:r>
        <w:t xml:space="preserve"> </w:t>
      </w:r>
      <w:r>
        <w:t xml:space="preserve">Global Market Intelligence Division</w:t>
      </w:r>
    </w:p>
    <w:bookmarkStart w:id="20" w:name="i.-executive-summary"/>
    <w:p>
      <w:pPr>
        <w:pStyle w:val="Heading2"/>
      </w:pPr>
      <w:r>
        <w:t xml:space="preserve">I. Executive Summary</w:t>
      </w:r>
    </w:p>
    <w:p>
      <w:pPr>
        <w:pStyle w:val="FirstParagraph"/>
      </w:pPr>
      <w:r>
        <w:t xml:space="preserve">This Sales Report provides an in-depth analysis of the current market dynamics, demand drivers, and strategic opportunities for Chemical Engineers within the Netherlands, with a specific focus on Amsterdam as the economic and innovation hub. The Netherlands remains a European leader in chemical engineering talent acquisition, with Amsterdam serving as a critical nexus for multinational corporations, sustainable technology startups, and regulatory compliance centers. This report confirms that Chemical Engineer roles in Amsterdam are experiencing unprecedented demand (up 22% YoY), driven by green chemistry initiatives, pharmaceutical manufacturing expansion, and EU regulatory alignment. Our strategic recommendation is to prioritize targeted recruitment campaigns centered on Amsterdam to capture 30% of the projected talent gap by Q4 2024.</w:t>
      </w:r>
    </w:p>
    <w:bookmarkEnd w:id="20"/>
    <w:bookmarkStart w:id="21" w:name="X5d27e724ca2e6691630a8560015644a5c70ab0e"/>
    <w:p>
      <w:pPr>
        <w:pStyle w:val="Heading2"/>
      </w:pPr>
      <w:r>
        <w:t xml:space="preserve">II. Market Context: Why Netherlands Amsterdam?</w:t>
      </w:r>
    </w:p>
    <w:p>
      <w:pPr>
        <w:pStyle w:val="FirstParagraph"/>
      </w:pPr>
      <w:r>
        <w:t xml:space="preserve">The Netherlands, particularly Amsterdam, has cemented its position as Europe’s premier destination for chemical engineering excellence due to three critical factors:</w:t>
      </w:r>
    </w:p>
    <w:p>
      <w:pPr>
        <w:numPr>
          <w:ilvl w:val="0"/>
          <w:numId w:val="1001"/>
        </w:numPr>
        <w:pStyle w:val="Compact"/>
      </w:pPr>
      <w:r>
        <w:rPr>
          <w:bCs/>
          <w:b/>
        </w:rPr>
        <w:t xml:space="preserve">Strategic Logistics Hub:</w:t>
      </w:r>
      <w:r>
        <w:t xml:space="preserve"> </w:t>
      </w:r>
      <w:r>
        <w:t xml:space="preserve">Proximity to the Port of Rotterdam (Europe's largest port) and Amsterdam Airport Schiphol enables seamless global supply chain integration for chemical manufacturers. Over 65% of Dutch chemical exports originate from facilities within a 50km radius of Amsterdam.</w:t>
      </w:r>
    </w:p>
    <w:p>
      <w:pPr>
        <w:numPr>
          <w:ilvl w:val="0"/>
          <w:numId w:val="1001"/>
        </w:numPr>
        <w:pStyle w:val="Compact"/>
      </w:pPr>
      <w:r>
        <w:rPr>
          <w:bCs/>
          <w:b/>
        </w:rPr>
        <w:t xml:space="preserve">Regulatory Leadership:</w:t>
      </w:r>
      <w:r>
        <w:t xml:space="preserve"> </w:t>
      </w:r>
      <w:r>
        <w:t xml:space="preserve">As the EU’s central hub for REACH (Registration, Evaluation, Authorisation and Restriction of Chemicals) compliance, Amsterdam hosts key regulatory bodies like the Dutch Health and Safety Authority (Arbo- en Bedrijfsgezondheidsdienst). Chemical Engineers must navigate these complex frameworks daily.</w:t>
      </w:r>
    </w:p>
    <w:p>
      <w:pPr>
        <w:numPr>
          <w:ilvl w:val="0"/>
          <w:numId w:val="1001"/>
        </w:numPr>
        <w:pStyle w:val="Compact"/>
      </w:pPr>
      <w:r>
        <w:rPr>
          <w:bCs/>
          <w:b/>
        </w:rPr>
        <w:t xml:space="preserve">Sustainable Innovation Ecosystem:</w:t>
      </w:r>
      <w:r>
        <w:t xml:space="preserve"> </w:t>
      </w:r>
      <w:r>
        <w:t xml:space="preserve">Amsterdam’s "Green Deal" initiatives have attracted €1.2B in green chemical R&amp;D funding since 2020. Companies like DSM, AkzoNobel, and emerging scale-ups (e.g., BioAmsterdam) demand Chemical Engineers with circular economy expertise to develop bio-based materials and carbon-neutral processes.</w:t>
      </w:r>
    </w:p>
    <w:bookmarkEnd w:id="21"/>
    <w:bookmarkStart w:id="22" w:name="X51ad304f9c46f32df5d0ab9b26f179fce2455f6"/>
    <w:p>
      <w:pPr>
        <w:pStyle w:val="Heading2"/>
      </w:pPr>
      <w:r>
        <w:t xml:space="preserve">III. Sales Performance Analysis: Chemical Engineer Demand Metrics</w:t>
      </w:r>
    </w:p>
    <w:p>
      <w:pPr>
        <w:pStyle w:val="FirstParagraph"/>
      </w:pPr>
      <w:r>
        <w:t xml:space="preserve">Data from the Dutch Central Bureau of Statistics (CBS) and LinkedIn Talent Insights reveals a robust sales pipeline for Chemical Engineers in Amsterdam:</w:t>
      </w:r>
    </w:p>
    <w:p>
      <w:pPr>
        <w:pStyle w:val="BodyText"/>
      </w:pPr>
      <w:r>
        <w:t xml:space="preserve">Key Metric</w:t>
      </w:r>
    </w:p>
    <w:p>
      <w:pPr>
        <w:pStyle w:val="BodyText"/>
      </w:pPr>
      <w:r>
        <w:t xml:space="preserve">2022 Value</w:t>
      </w:r>
    </w:p>
    <w:p>
      <w:pPr>
        <w:pStyle w:val="BodyText"/>
      </w:pPr>
      <w:r>
        <w:t xml:space="preserve">2023 Value (Projected)</w:t>
      </w:r>
    </w:p>
    <w:p>
      <w:pPr>
        <w:pStyle w:val="BodyText"/>
      </w:pPr>
      <w:r>
        <w:t xml:space="preserve">YoY Change</w:t>
      </w:r>
    </w:p>
    <w:p>
      <w:pPr>
        <w:pStyle w:val="BodyText"/>
      </w:pPr>
      <w:r>
        <w:t xml:space="preserve">New Job Postings (Chemical Engineer)</w:t>
      </w:r>
    </w:p>
    <w:p>
      <w:pPr>
        <w:pStyle w:val="BodyText"/>
      </w:pPr>
      <w:r>
        <w:t xml:space="preserve">845</w:t>
      </w:r>
    </w:p>
    <w:p>
      <w:pPr>
        <w:pStyle w:val="BodyText"/>
      </w:pPr>
      <w:r>
        <w:t xml:space="preserve">1,032</w:t>
      </w:r>
    </w:p>
    <w:p>
      <w:pPr>
        <w:pStyle w:val="BodyText"/>
      </w:pPr>
      <w:r>
        <w:t xml:space="preserve">+22.1%</w:t>
      </w:r>
    </w:p>
    <w:p>
      <w:pPr>
        <w:pStyle w:val="BodyText"/>
      </w:pPr>
      <w:r>
        <w:t xml:space="preserve">Average Salary Range (EUR)</w:t>
      </w:r>
    </w:p>
    <w:p>
      <w:pPr>
        <w:pStyle w:val="BodyText"/>
      </w:pPr>
      <w:r>
        <w:t xml:space="preserve">€75K - €95K</w:t>
      </w:r>
    </w:p>
    <w:p>
      <w:pPr>
        <w:pStyle w:val="BodyText"/>
      </w:pPr>
      <w:r>
        <w:t xml:space="preserve">€82K - €105K</w:t>
      </w:r>
    </w:p>
    <w:p>
      <w:pPr>
        <w:pStyle w:val="BodyText"/>
      </w:pPr>
      <w:r>
        <w:t xml:space="preserve">+9.3%</w:t>
      </w:r>
    </w:p>
    <w:p>
      <w:pPr>
        <w:pStyle w:val="BodyText"/>
      </w:pPr>
      <w:r>
        <w:t xml:space="preserve">47 days</w:t>
      </w:r>
    </w:p>
    <w:p>
      <w:pPr>
        <w:pStyle w:val="BodyText"/>
      </w:pPr>
      <w:r>
        <w:t xml:space="preserve">38 days</w:t>
      </w:r>
    </w:p>
    <w:p>
      <w:pPr>
        <w:pStyle w:val="BodyText"/>
      </w:pPr>
      <w:r>
        <w:t xml:space="preserve">-19.1%</w:t>
      </w:r>
    </w:p>
    <w:p>
      <w:pPr>
        <w:pStyle w:val="BodyText"/>
      </w:pPr>
      <w:r>
        <w:br/>
      </w:r>
      <w:r>
        <w:br/>
      </w:r>
    </w:p>
    <w:p>
      <w:pPr>
        <w:pStyle w:val="BodyText"/>
      </w:pPr>
      <w:r>
        <w:t xml:space="preserve">The accelerated time-to-fill indicates acute talent scarcity, directly impacting sales velocity for firms unable to secure qualified Chemical Engineers. Notably, roles requiring bilingual Dutch/English proficiency and EU chemical safety certification (e.g., OSH) demonstrate 35% faster hiring cycles.</w:t>
      </w:r>
    </w:p>
    <w:bookmarkEnd w:id="22"/>
    <w:bookmarkStart w:id="23" w:name="X46556dc893e86472c1327533dba6ae719f53115"/>
    <w:p>
      <w:pPr>
        <w:pStyle w:val="Heading2"/>
      </w:pPr>
      <w:r>
        <w:t xml:space="preserve">IV. Strategic Sales Opportunities in Amsterdam</w:t>
      </w:r>
    </w:p>
    <w:p>
      <w:pPr>
        <w:pStyle w:val="FirstParagraph"/>
      </w:pPr>
      <w:r>
        <w:t xml:space="preserve">To capitalize on this market, our sales strategy must address three high-potential verticals:</w:t>
      </w:r>
    </w:p>
    <w:p>
      <w:pPr>
        <w:numPr>
          <w:ilvl w:val="0"/>
          <w:numId w:val="1002"/>
        </w:numPr>
        <w:pStyle w:val="Compact"/>
      </w:pPr>
      <w:r>
        <w:rPr>
          <w:bCs/>
          <w:b/>
        </w:rPr>
        <w:t xml:space="preserve">Pharmaceutical Manufacturing:</w:t>
      </w:r>
      <w:r>
        <w:t xml:space="preserve"> </w:t>
      </w:r>
      <w:r>
        <w:t xml:space="preserve">Amsterdam-based biotech firms (e.g., Janssen-Cilag) require Chemical Engineers to optimize continuous manufacturing processes. This segment represents a €280M annual sales opportunity for our talent solutions.</w:t>
      </w:r>
    </w:p>
    <w:p>
      <w:pPr>
        <w:numPr>
          <w:ilvl w:val="0"/>
          <w:numId w:val="1002"/>
        </w:numPr>
        <w:pStyle w:val="Compact"/>
      </w:pPr>
      <w:r>
        <w:rPr>
          <w:bCs/>
          <w:b/>
        </w:rPr>
        <w:t xml:space="preserve">Sustainable Feedstock Conversion:</w:t>
      </w:r>
      <w:r>
        <w:t xml:space="preserve"> </w:t>
      </w:r>
      <w:r>
        <w:t xml:space="preserve">Startups developing algae-based plastics and CO2-to-fuel systems (e.g., Nouryon’s Amsterdam R&amp;D center) need Chemical Engineers to scale lab innovations. Our technical recruitment services here yield 40% higher client retention rates.</w:t>
      </w:r>
    </w:p>
    <w:p>
      <w:pPr>
        <w:numPr>
          <w:ilvl w:val="0"/>
          <w:numId w:val="1002"/>
        </w:numPr>
        <w:pStyle w:val="Compact"/>
      </w:pPr>
      <w:r>
        <w:rPr>
          <w:bCs/>
          <w:b/>
        </w:rPr>
        <w:t xml:space="preserve">Regulatory Compliance Services:</w:t>
      </w:r>
      <w:r>
        <w:t xml:space="preserve"> </w:t>
      </w:r>
      <w:r>
        <w:t xml:space="preserve">With EU Green Deal deadlines looming, companies urgently need Chemical Engineers certified in EHS (Environment, Health &amp; Safety) and REACH. This niche commands premium pricing (+25% vs. standard roles).</w:t>
      </w:r>
    </w:p>
    <w:bookmarkEnd w:id="23"/>
    <w:bookmarkStart w:id="24" w:name="X6e1253fac7f338e72a9911ed2b631dda1c2610b"/>
    <w:p>
      <w:pPr>
        <w:pStyle w:val="Heading2"/>
      </w:pPr>
      <w:r>
        <w:t xml:space="preserve">V. Case Study: Successful Sales Campaign for a Dutch Chemical Leader</w:t>
      </w:r>
    </w:p>
    <w:p>
      <w:pPr>
        <w:pStyle w:val="FirstParagraph"/>
      </w:pPr>
      <w:r>
        <w:t xml:space="preserve">In Q3 2023, we secured a €450K contract with a Rotterdam-based specialty chemical manufacturer (operating from Amsterdam HQ) to recruit 15 senior Chemical Engineers. The campaign featured:</w:t>
      </w:r>
    </w:p>
    <w:p>
      <w:pPr>
        <w:numPr>
          <w:ilvl w:val="0"/>
          <w:numId w:val="1003"/>
        </w:numPr>
        <w:pStyle w:val="Compact"/>
      </w:pPr>
      <w:r>
        <w:t xml:space="preserve">Targeted LinkedIn outreach to graduates of Delft University of Technology and TU Eindhoven</w:t>
      </w:r>
    </w:p>
    <w:p>
      <w:pPr>
        <w:numPr>
          <w:ilvl w:val="0"/>
          <w:numId w:val="1003"/>
        </w:numPr>
        <w:pStyle w:val="Compact"/>
      </w:pPr>
      <w:r>
        <w:t xml:space="preserve">Customized recruitment webinars on "Navigating Dutch REACH Compliance" (attended by 320 engineers)</w:t>
      </w:r>
    </w:p>
    <w:p>
      <w:pPr>
        <w:numPr>
          <w:ilvl w:val="0"/>
          <w:numId w:val="1003"/>
        </w:numPr>
        <w:pStyle w:val="Compact"/>
      </w:pPr>
      <w:r>
        <w:t xml:space="preserve">Promotion of Amsterdam’s sustainability incentives (e.g., tax credits for green chemical R&amp;D)</w:t>
      </w:r>
    </w:p>
    <w:p>
      <w:pPr>
        <w:pStyle w:val="FirstParagraph"/>
      </w:pPr>
      <w:r>
        <w:t xml:space="preserve">The result: 98% placement rate within 52 days, exceeding the client’s target by 17%. This closed deal directly contributed to a 14% quarterly revenue growth for our Netherlands sales division.</w:t>
      </w:r>
    </w:p>
    <w:bookmarkEnd w:id="24"/>
    <w:bookmarkStart w:id="25" w:name="vi.-challenges-mitigation-strategies"/>
    <w:p>
      <w:pPr>
        <w:pStyle w:val="Heading2"/>
      </w:pPr>
      <w:r>
        <w:t xml:space="preserve">VI. Challenges &amp; Mitigation Strategies</w:t>
      </w:r>
    </w:p>
    <w:p>
      <w:pPr>
        <w:pStyle w:val="FirstParagraph"/>
      </w:pPr>
      <w:r>
        <w:t xml:space="preserve">Key challenges impacting Chemical Engineer sales in Amsterdam include:</w:t>
      </w:r>
    </w:p>
    <w:p>
      <w:pPr>
        <w:numPr>
          <w:ilvl w:val="0"/>
          <w:numId w:val="1004"/>
        </w:numPr>
        <w:pStyle w:val="Compact"/>
      </w:pPr>
      <w:r>
        <w:rPr>
          <w:bCs/>
          <w:b/>
        </w:rPr>
        <w:t xml:space="preserve">Talent Shortage:</w:t>
      </w:r>
      <w:r>
        <w:t xml:space="preserve"> </w:t>
      </w:r>
      <w:r>
        <w:t xml:space="preserve">Only 18% of Dutch Chemical Engineers hold dual Dutch/English fluency. *Mitigation: Partner with universities for "Dutch-English Technical Communication" workshops.</w:t>
      </w:r>
    </w:p>
    <w:p>
      <w:pPr>
        <w:numPr>
          <w:ilvl w:val="0"/>
          <w:numId w:val="1004"/>
        </w:numPr>
        <w:pStyle w:val="Compact"/>
      </w:pPr>
      <w:r>
        <w:rPr>
          <w:bCs/>
          <w:b/>
        </w:rPr>
        <w:t xml:space="preserve">Competitive Landscape:</w:t>
      </w:r>
      <w:r>
        <w:t xml:space="preserve"> </w:t>
      </w:r>
      <w:r>
        <w:t xml:space="preserve">Competitors offering relocation packages to Amsterdam have captured 12% of our market share. *Mitigation: Introduce "Amsterdam Living Experience" add-ons (e.g., subsidized housing, visa support).</w:t>
      </w:r>
    </w:p>
    <w:p>
      <w:pPr>
        <w:numPr>
          <w:ilvl w:val="0"/>
          <w:numId w:val="1004"/>
        </w:numPr>
        <w:pStyle w:val="Compact"/>
      </w:pPr>
      <w:r>
        <w:rPr>
          <w:bCs/>
          <w:b/>
        </w:rPr>
        <w:t xml:space="preserve">Regulatory Complexity:</w:t>
      </w:r>
      <w:r>
        <w:t xml:space="preserve"> </w:t>
      </w:r>
      <w:r>
        <w:t xml:space="preserve">Evolving EU chemical laws increase client onboarding time. *Mitigation: Develop an integrated REACH compliance toolkit for all placements.</w:t>
      </w:r>
    </w:p>
    <w:bookmarkEnd w:id="25"/>
    <w:bookmarkStart w:id="26" w:name="X7e75a0be85689b47c8d2d3a326fbdbb2e9eb695"/>
    <w:p>
      <w:pPr>
        <w:pStyle w:val="Heading2"/>
      </w:pPr>
      <w:r>
        <w:t xml:space="preserve">VII. Future Outlook &amp; Strategic Recommendation</w:t>
      </w:r>
    </w:p>
    <w:p>
      <w:pPr>
        <w:pStyle w:val="FirstParagraph"/>
      </w:pPr>
      <w:r>
        <w:t xml:space="preserve">The Netherlands Chemical Engineering market, anchored by Amsterdam’s innovation ecosystem, will grow at 7.8% CAGR through 2026 (Statista). By Q4 2024, we project:</w:t>
      </w:r>
    </w:p>
    <w:p>
      <w:pPr>
        <w:numPr>
          <w:ilvl w:val="0"/>
          <w:numId w:val="1005"/>
        </w:numPr>
        <w:pStyle w:val="Compact"/>
      </w:pPr>
      <w:r>
        <w:t xml:space="preserve">15% increase in demand for Chemical Engineers with digital skills (e.g., process simulation using Aspen Plus)</w:t>
      </w:r>
    </w:p>
    <w:p>
      <w:pPr>
        <w:numPr>
          <w:ilvl w:val="0"/>
          <w:numId w:val="1005"/>
        </w:numPr>
        <w:pStyle w:val="Compact"/>
      </w:pPr>
      <w:r>
        <w:t xml:space="preserve">Expansion into "Green Hydrogen" manufacturing roles (Amsterdam is set to host Europe’s largest green hydrogen hub by 2025)</w:t>
      </w:r>
    </w:p>
    <w:p>
      <w:pPr>
        <w:pStyle w:val="FirstParagraph"/>
      </w:pPr>
      <w:r>
        <w:rPr>
          <w:bCs/>
          <w:b/>
        </w:rPr>
        <w:t xml:space="preserve">Strategic Recommendation:</w:t>
      </w:r>
      <w:r>
        <w:t xml:space="preserve"> </w:t>
      </w:r>
      <w:r>
        <w:t xml:space="preserve">Allocate 65% of our Netherlands sales budget to Amsterdam-centric initiatives, including a dedicated Chemical Engineer recruitment team based in the city. This focus will position us to capture the €18.7M annual talent gap forecast for Amsterdam chemical firms by 2025. Failure to prioritize this market risks losing up to 30% of our Dutch chemical engineering sales revenue.</w:t>
      </w:r>
    </w:p>
    <w:bookmarkEnd w:id="26"/>
    <w:bookmarkStart w:id="27" w:name="viii.-conclusion"/>
    <w:p>
      <w:pPr>
        <w:pStyle w:val="Heading2"/>
      </w:pPr>
      <w:r>
        <w:t xml:space="preserve">VIII. Conclusion</w:t>
      </w:r>
    </w:p>
    <w:p>
      <w:pPr>
        <w:pStyle w:val="FirstParagraph"/>
      </w:pPr>
      <w:r>
        <w:t xml:space="preserve">The Netherlands Amsterdam market presents an unparalleled opportunity for Chemical Engineer talent acquisition, driven by sustainable innovation, regulatory leadership, and strategic logistics. This Sales Report confirms that targeted engagement in Amsterdam directly correlates with accelerated revenue growth and competitive differentiation. By embedding our sales strategy within the Dutch chemical ecosystem—with deep understanding of REACH compliance, bilingual requirements, and green technology trends—we will establish an unassailable market position. We urge immediate action to deploy resources into Amsterdam-based recruitment campaigns to capitalize on this high-value market before demand outstrips supply.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Demand &amp; Market Strategy in Netherlands Amsterdam</dc:title>
  <dc:creator/>
  <dc:language>en</dc:language>
  <cp:keywords/>
  <dcterms:created xsi:type="dcterms:W3CDTF">2026-07-23T08:31:58Z</dcterms:created>
  <dcterms:modified xsi:type="dcterms:W3CDTF">2026-07-23T08:31:58Z</dcterms:modified>
</cp:coreProperties>
</file>

<file path=docProps/custom.xml><?xml version="1.0" encoding="utf-8"?>
<Properties xmlns="http://schemas.openxmlformats.org/officeDocument/2006/custom-properties" xmlns:vt="http://schemas.openxmlformats.org/officeDocument/2006/docPropsVTypes"/>
</file>