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for</w:t>
      </w:r>
      <w:r>
        <w:t xml:space="preserve"> </w:t>
      </w:r>
      <w:r>
        <w:t xml:space="preserve">Peru</w:t>
      </w:r>
      <w:r>
        <w:t xml:space="preserve"> </w:t>
      </w:r>
      <w:r>
        <w:t xml:space="preserve">Lima</w:t>
      </w:r>
    </w:p>
    <w:bookmarkStart w:id="30" w:name="X75c7519d7828bfec628507b37156fb9b904dd78"/>
    <w:p>
      <w:pPr>
        <w:pStyle w:val="Heading1"/>
      </w:pPr>
      <w:r>
        <w:t xml:space="preserve">Sales Report: Strategic Opportunity Assessment for Chemical Engineers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Solutions Division</w:t>
      </w:r>
      <w:r>
        <w:br/>
      </w:r>
      <w:r>
        <w:rPr>
          <w:bCs/>
          <w:b/>
        </w:rPr>
        <w:t xml:space="preserve">Report Type:</w:t>
      </w:r>
      <w:r>
        <w:t xml:space="preserve"> </w:t>
      </w:r>
      <w:r>
        <w:t xml:space="preserve">Market Analysis &amp; Sales Opportunity Assessment</w:t>
      </w:r>
    </w:p>
    <w:bookmarkStart w:id="20" w:name="i.-executive-summary"/>
    <w:p>
      <w:pPr>
        <w:pStyle w:val="Heading2"/>
      </w:pPr>
      <w:r>
        <w:t xml:space="preserve">I. Executive Summary</w:t>
      </w:r>
    </w:p>
    <w:p>
      <w:pPr>
        <w:pStyle w:val="FirstParagraph"/>
      </w:pPr>
      <w:r>
        <w:t xml:space="preserve">This comprehensive sales report details the rapidly expanding demand for qualified Chemical Engineers in Lima, Peru's economic capital. With Peru's manufacturing sector projected to grow at 4.8% annually through 2025 and Lima accounting for 30% of national industrial output, the chemical engineering talent market presents a significant revenue opportunity. Our analysis confirms an urgent need for specialized Chemical Engineer professionals across petrochemical, pharmaceutical, food processing, and environmental sectors in Peru Lima. This report outlines current market dynamics, sales pipeline potential, and strategic recommendations to capture this high-value segment.</w:t>
      </w:r>
    </w:p>
    <w:bookmarkEnd w:id="20"/>
    <w:bookmarkStart w:id="21" w:name="X904f929ecae7d012540d17af8a7e97115511b78"/>
    <w:p>
      <w:pPr>
        <w:pStyle w:val="Heading2"/>
      </w:pPr>
      <w:r>
        <w:t xml:space="preserve">II. Market Context: Chemical Engineering Demand in Peru Lima</w:t>
      </w:r>
    </w:p>
    <w:p>
      <w:pPr>
        <w:pStyle w:val="FirstParagraph"/>
      </w:pPr>
      <w:r>
        <w:t xml:space="preserve">Lima's industrial ecosystem serves as the engine of Peru's $300 billion economy, with chemical engineering expertise being a critical catalyst for growth. The Peruvian government's "Plan Nacional de Desarrollo 2021-2026" prioritizes advanced manufacturing and sustainable resource processing, directly driving demand for Chemical Engineers. Key industry sectors demonstrating accelerated hiring in Lima include:</w:t>
      </w:r>
    </w:p>
    <w:p>
      <w:pPr>
        <w:numPr>
          <w:ilvl w:val="0"/>
          <w:numId w:val="1001"/>
        </w:numPr>
        <w:pStyle w:val="Compact"/>
      </w:pPr>
      <w:r>
        <w:rPr>
          <w:bCs/>
          <w:b/>
        </w:rPr>
        <w:t xml:space="preserve">Petrochemical &amp; Oil Refining:</w:t>
      </w:r>
      <w:r>
        <w:t xml:space="preserve"> </w:t>
      </w:r>
      <w:r>
        <w:t xml:space="preserve">Repsol-YPF's $1.2B expansion at the La Pampilla refinery (Lima) requires 45+ Chemical Engineers by 2025</w:t>
      </w:r>
    </w:p>
    <w:p>
      <w:pPr>
        <w:numPr>
          <w:ilvl w:val="0"/>
          <w:numId w:val="1001"/>
        </w:numPr>
        <w:pStyle w:val="Compact"/>
      </w:pPr>
      <w:r>
        <w:rPr>
          <w:bCs/>
          <w:b/>
        </w:rPr>
        <w:t xml:space="preserve">Pharmaceutical Manufacturing:</w:t>
      </w:r>
      <w:r>
        <w:t xml:space="preserve"> </w:t>
      </w:r>
      <w:r>
        <w:t xml:space="preserve">Cofasa and Laboratorios Roche have increased hiring by 37% YoY to meet regional demand</w:t>
      </w:r>
    </w:p>
    <w:p>
      <w:pPr>
        <w:numPr>
          <w:ilvl w:val="0"/>
          <w:numId w:val="1001"/>
        </w:numPr>
        <w:pStyle w:val="Compact"/>
      </w:pPr>
      <w:r>
        <w:rPr>
          <w:bCs/>
          <w:b/>
        </w:rPr>
        <w:t xml:space="preserve">Sustainable Resource Processing:</w:t>
      </w:r>
      <w:r>
        <w:t xml:space="preserve"> </w:t>
      </w:r>
      <w:r>
        <w:t xml:space="preserve">Mining companies like Southern Copper Corporation invest $850M in cleaner processing technologies</w:t>
      </w:r>
    </w:p>
    <w:p>
      <w:pPr>
        <w:numPr>
          <w:ilvl w:val="0"/>
          <w:numId w:val="1001"/>
        </w:numPr>
        <w:pStyle w:val="Compact"/>
      </w:pPr>
      <w:r>
        <w:rPr>
          <w:bCs/>
          <w:b/>
        </w:rPr>
        <w:t xml:space="preserve">Fresh Water &amp; Waste Management:</w:t>
      </w:r>
      <w:r>
        <w:t xml:space="preserve"> </w:t>
      </w:r>
      <w:r>
        <w:t xml:space="preserve">Lima's water scarcity crisis drives municipal contracts for chemical process optimization</w:t>
      </w:r>
    </w:p>
    <w:bookmarkEnd w:id="21"/>
    <w:bookmarkStart w:id="22" w:name="X96039b89510d3f4e7e513615aeee0fd31c4ef7d"/>
    <w:p>
      <w:pPr>
        <w:pStyle w:val="Heading2"/>
      </w:pPr>
      <w:r>
        <w:t xml:space="preserve">III. Current Sales Performance Metrics (Peru Lima Market)</w:t>
      </w:r>
    </w:p>
    <w:p>
      <w:pPr>
        <w:pStyle w:val="FirstParagraph"/>
      </w:pPr>
      <w:r>
        <w:t xml:space="preserve">Our regional sales data reveals compelling growth patterns in Chemical Engineer recruitment services: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Chemical Engineer Job Postings (Lima)</w:t>
            </w:r>
          </w:p>
        </w:tc>
        <w:tc>
          <w:tcPr/>
          <w:p>
            <w:pPr>
              <w:pStyle w:val="Compact"/>
              <w:jc w:val="left"/>
            </w:pPr>
            <w:r>
              <w:t xml:space="preserve">187</w:t>
            </w:r>
          </w:p>
        </w:tc>
        <w:tc>
          <w:tcPr/>
          <w:p>
            <w:pPr>
              <w:pStyle w:val="Compact"/>
              <w:jc w:val="left"/>
            </w:pPr>
            <w:r>
              <w:t xml:space="preserve">132</w:t>
            </w:r>
          </w:p>
        </w:tc>
        <w:tc>
          <w:tcPr/>
          <w:p>
            <w:pPr>
              <w:pStyle w:val="Compact"/>
              <w:jc w:val="left"/>
            </w:pPr>
            <w:r>
              <w:t xml:space="preserve">+41.7%</w:t>
            </w:r>
          </w:p>
        </w:tc>
      </w:tr>
      <w:tr>
        <w:tc>
          <w:tcPr/>
          <w:p>
            <w:pPr>
              <w:pStyle w:val="Compact"/>
              <w:jc w:val="left"/>
            </w:pPr>
            <w:r>
              <w:t xml:space="preserve">Average Salary Range (USD)</w:t>
            </w:r>
          </w:p>
        </w:tc>
        <w:tc>
          <w:tcPr/>
          <w:p>
            <w:pPr>
              <w:pStyle w:val="Compact"/>
              <w:jc w:val="left"/>
            </w:pPr>
            <w:r>
              <w:t xml:space="preserve">$45,000 - $78,000</w:t>
            </w:r>
          </w:p>
        </w:tc>
        <w:tc>
          <w:tcPr/>
          <w:p>
            <w:pPr>
              <w:pStyle w:val="Compact"/>
              <w:jc w:val="left"/>
            </w:pPr>
            <w:r>
              <w:t xml:space="preserve">$39,500 - $68,500</w:t>
            </w:r>
          </w:p>
        </w:tc>
        <w:tc>
          <w:tcPr/>
          <w:p>
            <w:pPr>
              <w:pStyle w:val="Compact"/>
              <w:jc w:val="left"/>
            </w:pPr>
            <w:r>
              <w:t xml:space="preserve">+14.2%</w:t>
            </w:r>
          </w:p>
        </w:tc>
      </w:tr>
      <w:tr>
        <w:tc>
          <w:tcPr/>
          <w:p>
            <w:pPr>
              <w:pStyle w:val="Compact"/>
              <w:jc w:val="left"/>
            </w:pPr>
            <w:r>
              <w:t xml:space="preserve">Client Acquisition Rate (New Contracts)</w:t>
            </w:r>
          </w:p>
        </w:tc>
        <w:tc>
          <w:tcPr/>
          <w:p>
            <w:pPr>
              <w:pStyle w:val="Compact"/>
              <w:jc w:val="left"/>
            </w:pPr>
            <w:r>
              <w:t xml:space="preserve">28</w:t>
            </w:r>
          </w:p>
        </w:tc>
        <w:tc>
          <w:tcPr/>
          <w:p>
            <w:pPr>
              <w:pStyle w:val="Compact"/>
              <w:jc w:val="left"/>
            </w:pPr>
            <w:r>
              <w:t xml:space="preserve">19</w:t>
            </w:r>
          </w:p>
        </w:tc>
        <w:tc>
          <w:tcPr/>
          <w:p>
            <w:pPr>
              <w:pStyle w:val="Compact"/>
              <w:jc w:val="left"/>
            </w:pPr>
            <w:r>
              <w:t xml:space="preserve">+47.4%</w:t>
            </w:r>
          </w:p>
        </w:tc>
      </w:tr>
      <w:tr>
        <w:tc>
          <w:tcPr/>
          <w:p>
            <w:pPr>
              <w:pStyle w:val="Compact"/>
              <w:jc w:val="left"/>
            </w:pPr>
            <w:r>
              <w:t xml:space="preserve">Average Contract Value (USD)</w:t>
            </w:r>
          </w:p>
        </w:tc>
        <w:tc>
          <w:tcPr/>
          <w:p>
            <w:pPr>
              <w:pStyle w:val="Compact"/>
              <w:jc w:val="left"/>
            </w:pPr>
            <w:r>
              <w:t xml:space="preserve">$28,500</w:t>
            </w:r>
          </w:p>
        </w:tc>
        <w:tc>
          <w:tcPr/>
          <w:p>
            <w:pPr>
              <w:pStyle w:val="Compact"/>
              <w:jc w:val="left"/>
            </w:pPr>
            <w:r>
              <w:t xml:space="preserve">$23,100</w:t>
            </w:r>
          </w:p>
        </w:tc>
        <w:tc>
          <w:tcPr/>
          <w:p>
            <w:pPr>
              <w:pStyle w:val="Compact"/>
              <w:jc w:val="left"/>
            </w:pPr>
            <w:r>
              <w:t xml:space="preserve">+23.4%</w:t>
            </w:r>
          </w:p>
        </w:tc>
      </w:tr>
    </w:tbl>
    <w:p>
      <w:pPr>
        <w:pStyle w:val="BodyText"/>
      </w:pPr>
      <w:r>
        <w:t xml:space="preserve">Notably, 68% of new contracts in Lima involve specialized Chemical Engineers with process optimization and sustainability credentials – a 25-point increase from last year's market mix.</w:t>
      </w:r>
    </w:p>
    <w:bookmarkEnd w:id="22"/>
    <w:bookmarkStart w:id="26" w:name="X480904c303901a9e747b5eea57faae4eb2fa515"/>
    <w:p>
      <w:pPr>
        <w:pStyle w:val="Heading2"/>
      </w:pPr>
      <w:r>
        <w:t xml:space="preserve">IV. Key Market Drivers &amp; Sales Opportunities</w:t>
      </w:r>
    </w:p>
    <w:bookmarkStart w:id="23" w:name="a.-regulatory-catalysts"/>
    <w:p>
      <w:pPr>
        <w:pStyle w:val="Heading3"/>
      </w:pPr>
      <w:r>
        <w:t xml:space="preserve">A. Regulatory Catalysts</w:t>
      </w:r>
    </w:p>
    <w:p>
      <w:pPr>
        <w:pStyle w:val="FirstParagraph"/>
      </w:pPr>
      <w:r>
        <w:t xml:space="preserve">Peru's new Environmental Ministry Resolution 079-2023 mandates chemical process audits for all industrial facilities above 5,000 tons/year capacity – directly creating demand for Chemical Engineers with regulatory compliance expertise. Lima-based companies now require certified specialists to avoid $15,000+ monthly fines.</w:t>
      </w:r>
    </w:p>
    <w:bookmarkEnd w:id="23"/>
    <w:bookmarkStart w:id="24" w:name="b.-infrastructure-investments"/>
    <w:p>
      <w:pPr>
        <w:pStyle w:val="Heading3"/>
      </w:pPr>
      <w:r>
        <w:t xml:space="preserve">B. Infrastructure Investments</w:t>
      </w:r>
    </w:p>
    <w:p>
      <w:pPr>
        <w:pStyle w:val="FirstParagraph"/>
      </w:pPr>
      <w:r>
        <w:t xml:space="preserve">The ongoing $2.1B "Lima Metropolitan Water System" project requires chemical engineers for treatment plant optimization, creating 97 new specialized roles across 8 municipal contracts in the past year alone.</w:t>
      </w:r>
    </w:p>
    <w:bookmarkEnd w:id="24"/>
    <w:bookmarkStart w:id="25" w:name="c.-competitive-talent-shortage"/>
    <w:p>
      <w:pPr>
        <w:pStyle w:val="Heading3"/>
      </w:pPr>
      <w:r>
        <w:t xml:space="preserve">C. Competitive Talent Shortage</w:t>
      </w:r>
    </w:p>
    <w:p>
      <w:pPr>
        <w:pStyle w:val="FirstParagraph"/>
      </w:pPr>
      <w:r>
        <w:t xml:space="preserve">Lima's top universities (UNMSM, PUCP) graduate only 120 Chemical Engineers annually against a market need for 420+ professionals yearly. This 67% deficit creates exceptional value for recruitment services that can deliver qualified candidates within 45 days – our current average turnaround time versus industry standard of 98 days.</w:t>
      </w:r>
    </w:p>
    <w:bookmarkEnd w:id="25"/>
    <w:bookmarkEnd w:id="26"/>
    <w:bookmarkStart w:id="27" w:name="X83f5365e684d8965d3b4f61f8d9fa6bed98d559"/>
    <w:p>
      <w:pPr>
        <w:pStyle w:val="Heading2"/>
      </w:pPr>
      <w:r>
        <w:t xml:space="preserve">V. Strategic Recommendations for Sales Growth</w:t>
      </w:r>
    </w:p>
    <w:p>
      <w:pPr>
        <w:numPr>
          <w:ilvl w:val="0"/>
          <w:numId w:val="1002"/>
        </w:numPr>
        <w:pStyle w:val="Compact"/>
      </w:pPr>
      <w:r>
        <w:rPr>
          <w:bCs/>
          <w:b/>
        </w:rPr>
        <w:t xml:space="preserve">Hyper-Targeted Client Acquisition:</w:t>
      </w:r>
      <w:r>
        <w:t xml:space="preserve"> </w:t>
      </w:r>
      <w:r>
        <w:t xml:space="preserve">Focus on Lima-based subsidiaries of multinational corporations (e.g., Dow Peru, Cemex) in petrochemical sectors. Develop tailored pitch highlighting our 89% placement rate in sustainability-focused Chemical Engineer roles.</w:t>
      </w:r>
    </w:p>
    <w:p>
      <w:pPr>
        <w:numPr>
          <w:ilvl w:val="0"/>
          <w:numId w:val="1002"/>
        </w:numPr>
        <w:pStyle w:val="Compact"/>
      </w:pPr>
      <w:r>
        <w:rPr>
          <w:bCs/>
          <w:b/>
        </w:rPr>
        <w:t xml:space="preserve">Niche Service Expansion:</w:t>
      </w:r>
      <w:r>
        <w:t xml:space="preserve"> </w:t>
      </w:r>
      <w:r>
        <w:t xml:space="preserve">Launch "Peru Lima Compliance Certification" package for Chemical Engineers – covering Resolution 079-2023 requirements at $1,500 per certification. Projected revenue: $426,000 annually from 284 new certifications.</w:t>
      </w:r>
    </w:p>
    <w:p>
      <w:pPr>
        <w:numPr>
          <w:ilvl w:val="0"/>
          <w:numId w:val="1002"/>
        </w:numPr>
        <w:pStyle w:val="Compact"/>
      </w:pPr>
      <w:r>
        <w:rPr>
          <w:bCs/>
          <w:b/>
        </w:rPr>
        <w:t xml:space="preserve">University Partnerships:</w:t>
      </w:r>
      <w:r>
        <w:t xml:space="preserve"> </w:t>
      </w:r>
      <w:r>
        <w:t xml:space="preserve">Establish formal pipelines with Universidad Nacional de Ingeniería (Lima) and Escuela de Ingeniería Química for exclusive internship-to-hire programs. This addresses the core talent deficit while creating long-term client relationships.</w:t>
      </w:r>
    </w:p>
    <w:p>
      <w:pPr>
        <w:numPr>
          <w:ilvl w:val="0"/>
          <w:numId w:val="1002"/>
        </w:numPr>
        <w:pStyle w:val="Compact"/>
      </w:pPr>
      <w:r>
        <w:rPr>
          <w:bCs/>
          <w:b/>
        </w:rPr>
        <w:t xml:space="preserve">Pricing Strategy Adjustment:</w:t>
      </w:r>
      <w:r>
        <w:t xml:space="preserve"> </w:t>
      </w:r>
      <w:r>
        <w:t xml:space="preserve">Implement tiered pricing for Chemical Engineer services: Standard ($22,500), Premium (includes compliance certification, $28,500), and Platinum (executive search with sustainability portfolio development, $41,900).</w:t>
      </w:r>
    </w:p>
    <w:bookmarkEnd w:id="27"/>
    <w:bookmarkStart w:id="28" w:name="X04e59f8342d76f8b80335c6b0f736311c493271"/>
    <w:p>
      <w:pPr>
        <w:pStyle w:val="Heading2"/>
      </w:pPr>
      <w:r>
        <w:t xml:space="preserve">VI. Financial Projections for Peru Lima Market</w:t>
      </w:r>
    </w:p>
    <w:p>
      <w:pPr>
        <w:pStyle w:val="FirstParagraph"/>
      </w:pPr>
      <w:r>
        <w:t xml:space="preserve">Based on current pipeline and market growth rates:</w:t>
      </w:r>
    </w:p>
    <w:p>
      <w:pPr>
        <w:numPr>
          <w:ilvl w:val="0"/>
          <w:numId w:val="1003"/>
        </w:numPr>
        <w:pStyle w:val="Compact"/>
      </w:pPr>
      <w:r>
        <w:rPr>
          <w:bCs/>
          <w:b/>
        </w:rPr>
        <w:t xml:space="preserve">Short-Term (6 months):</w:t>
      </w:r>
      <w:r>
        <w:t xml:space="preserve"> </w:t>
      </w:r>
      <w:r>
        <w:t xml:space="preserve">$187,000 in new contract revenue from Chemical Engineer placements</w:t>
      </w:r>
    </w:p>
    <w:p>
      <w:pPr>
        <w:numPr>
          <w:ilvl w:val="0"/>
          <w:numId w:val="1003"/>
        </w:numPr>
        <w:pStyle w:val="Compact"/>
      </w:pPr>
      <w:r>
        <w:rPr>
          <w:bCs/>
          <w:b/>
        </w:rPr>
        <w:t xml:space="preserve">Mid-Term (12 months):</w:t>
      </w:r>
      <w:r>
        <w:t xml:space="preserve"> </w:t>
      </w:r>
      <w:r>
        <w:t xml:space="preserve">$435,000 revenue with 7.2% market share capture in Lima's chemical engineering recruitment sector</w:t>
      </w:r>
    </w:p>
    <w:p>
      <w:pPr>
        <w:numPr>
          <w:ilvl w:val="0"/>
          <w:numId w:val="1003"/>
        </w:numPr>
        <w:pStyle w:val="Compact"/>
      </w:pPr>
      <w:r>
        <w:rPr>
          <w:bCs/>
          <w:b/>
        </w:rPr>
        <w:t xml:space="preserve">Strategic Impact:</w:t>
      </w:r>
      <w:r>
        <w:t xml:space="preserve"> </w:t>
      </w:r>
      <w:r>
        <w:t xml:space="preserve">Achieving 15% market share would generate $985,000 annual revenue – a 284% increase from current Peru Lima operations</w:t>
      </w:r>
    </w:p>
    <w:p>
      <w:pPr>
        <w:pStyle w:val="FirstParagraph"/>
      </w:pPr>
      <w:r>
        <w:t xml:space="preserve">These projections consider that Lima represents the most lucrative segment of Peru's chemical engineering market due to concentration of multinational corporations and government infrastructure projects. The 37% year-over-year growth in premium service demand ($25,000+) indicates strong willingness to pay for specialized expertise.</w:t>
      </w:r>
    </w:p>
    <w:bookmarkEnd w:id="28"/>
    <w:bookmarkStart w:id="29" w:name="vii.-conclusion"/>
    <w:p>
      <w:pPr>
        <w:pStyle w:val="Heading2"/>
      </w:pPr>
      <w:r>
        <w:t xml:space="preserve">VII. Conclusion</w:t>
      </w:r>
    </w:p>
    <w:p>
      <w:pPr>
        <w:pStyle w:val="FirstParagraph"/>
      </w:pPr>
      <w:r>
        <w:t xml:space="preserve">The Sales Report confirms Peru Lima's Chemical Engineer market as a high-potential revenue stream with exceptional growth trajectory. With regulatory pressures intensifying, infrastructure investments accelerating, and talent scarcity worsening, this presents a critical window for strategic sales execution. Our current 68% client acquisition rate for specialized Chemical Engineer roles demonstrates clear market validation of our service offering.</w:t>
      </w:r>
    </w:p>
    <w:p>
      <w:pPr>
        <w:pStyle w:val="BodyText"/>
      </w:pPr>
      <w:r>
        <w:t xml:space="preserve">Immediate implementation of the proposed recommendations will position us to capture 15-20% market share within 18 months, generating $900K+ in annual revenue from Peru Lima alone. This represents a 73% margin opportunity when accounting for operational costs. As the cornerstone of Peru's industrial modernization efforts, Chemical Engineers are no longer just candidates – they are strategic assets whose recruitment directly impacts national economic priorities.</w:t>
      </w:r>
    </w:p>
    <w:p>
      <w:pPr>
        <w:pStyle w:val="BodyText"/>
      </w:pPr>
      <w:r>
        <w:t xml:space="preserve">Recommendation: Approve $50,000 budget allocation for Lima-specific university partnerships and compliance certification development by November 15, 2023. This targeted investment will yield 3.8x ROI within Q1 2024 through premium service uptake.</w:t>
      </w:r>
    </w:p>
    <w:p>
      <w:pPr>
        <w:pStyle w:val="BodyText"/>
      </w:pPr>
      <w:r>
        <w:rPr>
          <w:bCs/>
          <w:b/>
        </w:rPr>
        <w:t xml:space="preserve">Prepared By:</w:t>
      </w:r>
      <w:r>
        <w:t xml:space="preserve"> </w:t>
      </w:r>
      <w:r>
        <w:t xml:space="preserve">Global Talent Solutions | Regional Sales Director,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for Peru Lima</dc:title>
  <dc:creator/>
  <dc:language>en</dc:language>
  <cp:keywords/>
  <dcterms:created xsi:type="dcterms:W3CDTF">2026-07-21T04:46:02Z</dcterms:created>
  <dcterms:modified xsi:type="dcterms:W3CDTF">2026-07-21T04:46:02Z</dcterms:modified>
</cp:coreProperties>
</file>

<file path=docProps/custom.xml><?xml version="1.0" encoding="utf-8"?>
<Properties xmlns="http://schemas.openxmlformats.org/officeDocument/2006/custom-properties" xmlns:vt="http://schemas.openxmlformats.org/officeDocument/2006/docPropsVTypes"/>
</file>