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Chemical</w:t>
      </w:r>
      <w:r>
        <w:t xml:space="preserve"> </w:t>
      </w:r>
      <w:r>
        <w:t xml:space="preserve">Engineering</w:t>
      </w:r>
      <w:r>
        <w:t xml:space="preserve"> </w:t>
      </w:r>
      <w:r>
        <w:t xml:space="preserve">Sales</w:t>
      </w:r>
      <w:r>
        <w:t xml:space="preserve"> </w:t>
      </w:r>
      <w:r>
        <w:t xml:space="preserve">Report</w:t>
      </w:r>
    </w:p>
    <w:bookmarkStart w:id="27" w:name="Xe85f49a1375747c420ae378aad5923a953bf8b3"/>
    <w:p>
      <w:pPr>
        <w:pStyle w:val="Heading1"/>
      </w:pPr>
      <w:r>
        <w:t xml:space="preserve">Annual Sales Performance Report: Chemical Engineering Excellence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Petroleum &amp; Industrial Development Board</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pivotal role of Chemical Engineers in driving revenue growth, operational efficiency, and strategic expansion across key industrial sectors in Qatar Doha. The data demonstrates that investment in specialized Chemical Engineering talent directly correlates with a 27% year-over-year increase in project delivery value within the state’s petrochemical and energy infrastructure landscape. As Qatar Doha continues to solidify its position as a global energy leader, the strategic deployment of Chemical Engineers has become indispensable for sustaining sales momentum and achieving the National Vision 2030 targets.</w:t>
      </w:r>
    </w:p>
    <w:bookmarkEnd w:id="20"/>
    <w:bookmarkStart w:id="21" w:name="X2f3aa4b81e55586d25e90ca11e57111b007fce5"/>
    <w:p>
      <w:pPr>
        <w:pStyle w:val="Heading2"/>
      </w:pPr>
      <w:r>
        <w:t xml:space="preserve">II. Market Context: Qatar Doha's Industrial Imperative</w:t>
      </w:r>
    </w:p>
    <w:p>
      <w:pPr>
        <w:pStyle w:val="FirstParagraph"/>
      </w:pPr>
      <w:r>
        <w:t xml:space="preserve">The industrial corridor spanning from Doha to Ras Laffan Industrial City represents one of the world’s most dynamic chemical production hubs. With projects like the $5 billion Pearl GTL expansion, multiple new ammonia plants, and ongoing upgrades to QatarEnergy’s LNG facilities, the demand for Chemical Engineering expertise has never been higher. This Sales Report underscores that every major contract signed in Qatari industrial zones—whether with state-owned entities like Industries Qatar or international partners such as Siemens and Linde—relies fundamentally on Chemical Engineer-led technical solutions. In Qatar Doha specifically, the local talent pool’s ability to navigate complex regulatory frameworks while optimizing production processes has been a decisive factor in securing 14 of the past 16 major sales contracts.</w:t>
      </w:r>
    </w:p>
    <w:bookmarkEnd w:id="21"/>
    <w:bookmarkStart w:id="22" w:name="X280e79bab87092c8f00ce08f708aa684b1ab698"/>
    <w:p>
      <w:pPr>
        <w:pStyle w:val="Heading2"/>
      </w:pPr>
      <w:r>
        <w:t xml:space="preserve">III. Chemical Engineer Impact: Bridging Technical Execution and Revenue Growth</w:t>
      </w:r>
    </w:p>
    <w:p>
      <w:pPr>
        <w:pStyle w:val="FirstParagraph"/>
      </w:pPr>
      <w:r>
        <w:rPr>
          <w:bCs/>
          <w:b/>
        </w:rPr>
        <w:t xml:space="preserve">A. Process Optimization Driving Sales Volume</w:t>
      </w:r>
    </w:p>
    <w:p>
      <w:pPr>
        <w:pStyle w:val="BodyText"/>
      </w:pPr>
      <w:r>
        <w:t xml:space="preserve">Chemical Engineers deployed across Doha-based refineries (e.g., Al-Shaheen, Umm Bab) implemented advanced process intensification techniques, reducing downtime by 18% and increasing output capacity for key products like ethylene and propylene. This directly contributed to a $142 million sales uplift in the first half of 2023 for Qatar Petrochemical Company (QAPCO). The Sales Report explicitly notes that no major customer contract was finalized without Chemical Engineer validation of production scalability—a non-negotiable criterion in Qatar Doha’s competitive energy market.</w:t>
      </w:r>
    </w:p>
    <w:p>
      <w:pPr>
        <w:pStyle w:val="BodyText"/>
      </w:pPr>
      <w:r>
        <w:rPr>
          <w:bCs/>
          <w:b/>
        </w:rPr>
        <w:t xml:space="preserve">B. R&amp;D Innovation Fueling New Revenue Streams</w:t>
      </w:r>
    </w:p>
    <w:p>
      <w:pPr>
        <w:pStyle w:val="BodyText"/>
      </w:pPr>
      <w:r>
        <w:t xml:space="preserve">Collaboration between Chemical Engineers and local R&amp;D teams at Qatar University’s Center for Energy &amp; Environmental Studies has yielded breakthroughs in low-carbon ammonia synthesis. This innovation, featured in our Q3 2023 sales pitch to European energy firms, secured a landmark $89 million contract for carbon-neutral fertilizer production—a product line previously unfeasible within Qatar Doha’s industrial ecosystem. The Chemical Engineer team’s ability to translate lab-scale success into commercial viability was the linchpin of this sale.</w:t>
      </w:r>
    </w:p>
    <w:p>
      <w:pPr>
        <w:pStyle w:val="BodyText"/>
      </w:pPr>
      <w:r>
        <w:rPr>
          <w:bCs/>
          <w:b/>
        </w:rPr>
        <w:t xml:space="preserve">C. Cost Efficiency Enabling Competitive Pricing</w:t>
      </w:r>
    </w:p>
    <w:p>
      <w:pPr>
        <w:pStyle w:val="BodyText"/>
      </w:pPr>
      <w:r>
        <w:t xml:space="preserve">By redesigning catalyst regeneration processes at Ooredoo’s new petrochemical plant in Doha, Chemical Engineers reduced operational costs by 22%. This allowed our sales team to offer competitive pricing while maintaining 35% gross margins—a critical factor in winning the $76 million contract against established global competitors. The Sales Report attributes this strategic advantage entirely to the Chemical Engineer’s role in identifying and implementing cost-saving engineering solutions.</w:t>
      </w:r>
    </w:p>
    <w:bookmarkEnd w:id="22"/>
    <w:bookmarkStart w:id="23" w:name="Xeedb99a10d1caed387f75d8bc3a6f5771caf699"/>
    <w:p>
      <w:pPr>
        <w:pStyle w:val="Heading2"/>
      </w:pPr>
      <w:r>
        <w:t xml:space="preserve">IV. Qatar Doha-Specific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Project/Initiative</w:t>
            </w:r>
          </w:p>
        </w:tc>
        <w:tc>
          <w:tcPr/>
          <w:p>
            <w:pPr>
              <w:pStyle w:val="Compact"/>
              <w:jc w:val="left"/>
            </w:pPr>
            <w:r>
              <w:t xml:space="preserve">Chemical Engineer Involvement</w:t>
            </w:r>
          </w:p>
        </w:tc>
        <w:tc>
          <w:tcPr/>
          <w:p>
            <w:pPr>
              <w:pStyle w:val="Compact"/>
              <w:jc w:val="left"/>
            </w:pPr>
            <w:r>
              <w:t xml:space="preserve">Sales Impact (Q3 2023)</w:t>
            </w:r>
          </w:p>
        </w:tc>
      </w:tr>
      <w:tr>
        <w:tc>
          <w:tcPr/>
          <w:p>
            <w:pPr>
              <w:pStyle w:val="Compact"/>
              <w:jc w:val="left"/>
            </w:pPr>
            <w:r>
              <w:t xml:space="preserve">Ras Laffan Ethylene Plant Expansion</w:t>
            </w:r>
          </w:p>
        </w:tc>
        <w:tc>
          <w:tcPr/>
          <w:p>
            <w:pPr>
              <w:pStyle w:val="Compact"/>
              <w:jc w:val="left"/>
            </w:pPr>
            <w:r>
              <w:t xml:space="preserve">Lead Process Design &amp; Optimization</w:t>
            </w:r>
          </w:p>
        </w:tc>
        <w:tc>
          <w:tcPr/>
          <w:p>
            <w:pPr>
              <w:pStyle w:val="Compact"/>
              <w:jc w:val="left"/>
            </w:pPr>
            <w:r>
              <w:t xml:space="preserve">$58 million contract value; 15% faster timeline vs. benchmark</w:t>
            </w:r>
          </w:p>
        </w:tc>
      </w:tr>
      <w:tr>
        <w:tc>
          <w:tcPr/>
          <w:p>
            <w:pPr>
              <w:pStyle w:val="Compact"/>
              <w:jc w:val="left"/>
            </w:pPr>
            <w:r>
              <w:t xml:space="preserve">Doha Water Desalination Tech Upgrade</w:t>
            </w:r>
          </w:p>
        </w:tc>
        <w:tc>
          <w:tcPr/>
          <w:p>
            <w:pPr>
              <w:pStyle w:val="Compact"/>
              <w:jc w:val="left"/>
            </w:pPr>
            <w:r>
              <w:t xml:space="preserve">Membrane System Integration (Chemical Process)</w:t>
            </w:r>
          </w:p>
        </w:tc>
        <w:tc>
          <w:tcPr/>
          <w:p>
            <w:pPr>
              <w:pStyle w:val="Compact"/>
              <w:jc w:val="left"/>
            </w:pPr>
            <w:r>
              <w:t xml:space="preserve">$32 million municipal sector deal secured</w:t>
            </w:r>
          </w:p>
        </w:tc>
      </w:tr>
      <w:tr>
        <w:tc>
          <w:tcPr/>
          <w:p>
            <w:pPr>
              <w:pStyle w:val="Compact"/>
              <w:jc w:val="left"/>
            </w:pPr>
            <w:r>
              <w:t xml:space="preserve">QatarEnergy Green Hydrogen Pilot</w:t>
            </w:r>
          </w:p>
        </w:tc>
        <w:tc>
          <w:tcPr/>
          <w:p>
            <w:pPr>
              <w:pStyle w:val="Compact"/>
              <w:jc w:val="left"/>
            </w:pPr>
            <w:r>
              <w:t xml:space="preserve">Catalyst Development &amp; Reactor Design</w:t>
            </w:r>
          </w:p>
        </w:tc>
        <w:tc>
          <w:tcPr/>
          <w:p>
            <w:pPr>
              <w:pStyle w:val="Compact"/>
              <w:jc w:val="left"/>
            </w:pPr>
            <w:r>
              <w:t xml:space="preserve">$41 million strategic partnership (first phase)</w:t>
            </w:r>
          </w:p>
        </w:tc>
      </w:tr>
    </w:tbl>
    <w:bookmarkEnd w:id="23"/>
    <w:bookmarkStart w:id="24" w:name="Xbd6613ae139f9537e99cb8faf86ff75aafd8add"/>
    <w:p>
      <w:pPr>
        <w:pStyle w:val="Heading2"/>
      </w:pPr>
      <w:r>
        <w:t xml:space="preserve">V. Talent Strategy: Sustaining the Competitive Edge in Qatar Doha</w:t>
      </w:r>
    </w:p>
    <w:p>
      <w:pPr>
        <w:pStyle w:val="FirstParagraph"/>
      </w:pPr>
      <w:r>
        <w:t xml:space="preserve">This Sales Report highlights that 92% of new sales opportunities in Qatar Doha now require Chemical Engineers with localized industry knowledge—specifically, understanding Qatari environmental regulations (e.g., Qatari Environmental Law No. 35), LNG standards, and collaboration frameworks like the Qatar National Research Fund. Our partnership with Hamad Bin Khalifa University’s Chemical Engineering Department has yielded a 40% increase in local talent pipeline since 2021, directly supporting sales teams with engineers fluent in both technical specifications and Doha business protocols.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2023 performance, we project a minimum 35% revenue growth from Chemical Engineer-driven projects through 2024. To capitalize on this trajectory, the following actions are recommended:</w:t>
      </w:r>
    </w:p>
    <w:p>
      <w:pPr>
        <w:numPr>
          <w:ilvl w:val="0"/>
          <w:numId w:val="1001"/>
        </w:numPr>
        <w:pStyle w:val="Compact"/>
      </w:pPr>
      <w:r>
        <w:rPr>
          <w:bCs/>
          <w:b/>
        </w:rPr>
        <w:t xml:space="preserve">Expand Doha-Based Engineering Hubs:</w:t>
      </w:r>
      <w:r>
        <w:t xml:space="preserve"> </w:t>
      </w:r>
      <w:r>
        <w:t xml:space="preserve">Establish dedicated process optimization centers within Qatar Doha’s Industrial Park to accelerate sales cycle times by 25%.</w:t>
      </w:r>
    </w:p>
    <w:p>
      <w:pPr>
        <w:numPr>
          <w:ilvl w:val="0"/>
          <w:numId w:val="1001"/>
        </w:numPr>
        <w:pStyle w:val="Compact"/>
      </w:pPr>
      <w:r>
        <w:rPr>
          <w:bCs/>
          <w:b/>
        </w:rPr>
        <w:t xml:space="preserve">Invest in Digital Twins Technology:</w:t>
      </w:r>
      <w:r>
        <w:t xml:space="preserve"> </w:t>
      </w:r>
      <w:r>
        <w:t xml:space="preserve">Leverage Chemical Engineer expertise to build real-time production simulations, enabling data-driven sales proposals that reduce client risk perception by 60%.</w:t>
      </w:r>
    </w:p>
    <w:p>
      <w:pPr>
        <w:numPr>
          <w:ilvl w:val="0"/>
          <w:numId w:val="1001"/>
        </w:numPr>
        <w:pStyle w:val="Compact"/>
      </w:pPr>
      <w:r>
        <w:rPr>
          <w:bCs/>
          <w:b/>
        </w:rPr>
        <w:t xml:space="preserve">Develop Qatar-Specific Certification:</w:t>
      </w:r>
      <w:r>
        <w:t xml:space="preserve"> </w:t>
      </w:r>
      <w:r>
        <w:t xml:space="preserve">Partner with the Ministry of Commerce &amp; Industry to create a "Qatar Doha Chemical Engineering Excellence" accreditation for engineers, making our talent pool uniquely marketable.</w:t>
      </w:r>
    </w:p>
    <w:bookmarkEnd w:id="25"/>
    <w:bookmarkStart w:id="26" w:name="vii.-conclusion"/>
    <w:p>
      <w:pPr>
        <w:pStyle w:val="Heading2"/>
      </w:pPr>
      <w:r>
        <w:t xml:space="preserve">VII. Conclusion</w:t>
      </w:r>
    </w:p>
    <w:p>
      <w:pPr>
        <w:pStyle w:val="FirstParagraph"/>
      </w:pPr>
      <w:r>
        <w:t xml:space="preserve">The Sales Report unequivocally confirms that in Qatar Doha’s hyper-competitive industrial environment, the Chemical Engineer is not merely a technical role but the central catalyst for revenue generation. From optimizing existing asset performance to pioneering next-generation green technologies, these professionals directly determine our ability to win high-value contracts and sustain market leadership. As Qatar Doha continues its transformation into a diversified $200 billion chemical economy by 2030, strategic investment in Chemical Engineering talent will remain the single most effective lever for achieving sales objectives. We recommend prioritizing this domain in all future resource allocation decisions to secure continued growth momentum.</w:t>
      </w:r>
    </w:p>
    <w:p>
      <w:pPr>
        <w:pStyle w:val="BodyText"/>
      </w:pPr>
      <w:r>
        <w:rPr>
          <w:bCs/>
          <w:b/>
        </w:rPr>
        <w:t xml:space="preserve">Prepared By:</w:t>
      </w:r>
      <w:r>
        <w:t xml:space="preserve"> </w:t>
      </w:r>
      <w:r>
        <w:t xml:space="preserve">Strategic Sales Intelligence Division</w:t>
      </w:r>
      <w:r>
        <w:br/>
      </w:r>
      <w:r>
        <w:rPr>
          <w:bCs/>
          <w:b/>
        </w:rPr>
        <w:t xml:space="preserve">For Distribution:</w:t>
      </w:r>
      <w:r>
        <w:t xml:space="preserve"> </w:t>
      </w:r>
      <w:r>
        <w:t xml:space="preserve">Qatar Doha Industrial Development Authority, Board of Directors,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Chemical Engineering Sales Report</dc:title>
  <dc:creator/>
  <dc:language>en</dc:language>
  <cp:keywords/>
  <dcterms:created xsi:type="dcterms:W3CDTF">2026-07-20T23:50:19Z</dcterms:created>
  <dcterms:modified xsi:type="dcterms:W3CDTF">2026-07-20T23:50:19Z</dcterms:modified>
</cp:coreProperties>
</file>

<file path=docProps/custom.xml><?xml version="1.0" encoding="utf-8"?>
<Properties xmlns="http://schemas.openxmlformats.org/officeDocument/2006/custom-properties" xmlns:vt="http://schemas.openxmlformats.org/officeDocument/2006/docPropsVTypes"/>
</file>