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Russia</w:t>
      </w:r>
      <w:r>
        <w:t xml:space="preserve"> </w:t>
      </w:r>
      <w:r>
        <w:t xml:space="preserve">Moscow</w:t>
      </w:r>
    </w:p>
    <w:bookmarkStart w:id="26" w:name="X25bbc30a785c03e3acadb49ae8472daeb291f7a"/>
    <w:p>
      <w:pPr>
        <w:pStyle w:val="Heading1"/>
      </w:pPr>
      <w:r>
        <w:t xml:space="preserve">Q3 2024 Sales Report: Strategic Growth of Chemical Engineering Talent Acquisition in Russia Moscow</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TechChem Solutions Global</w:t>
      </w:r>
      <w:r>
        <w:br/>
      </w:r>
      <w:r>
        <w:rPr>
          <w:bCs/>
          <w:b/>
        </w:rPr>
        <w:t xml:space="preserve">Purpose:</w:t>
      </w:r>
      <w:r>
        <w:t xml:space="preserve"> </w:t>
      </w:r>
      <w:r>
        <w:t xml:space="preserve">Market Analysis and Sales Strategy for Chemical Engineering Talent in Moscow Region</w:t>
      </w:r>
    </w:p>
    <w:bookmarkStart w:id="20" w:name="i.-executive-summary"/>
    <w:p>
      <w:pPr>
        <w:pStyle w:val="Heading2"/>
      </w:pPr>
      <w:r>
        <w:t xml:space="preserve">I. Executive Summary</w:t>
      </w:r>
    </w:p>
    <w:p>
      <w:pPr>
        <w:pStyle w:val="FirstParagraph"/>
      </w:pPr>
      <w:r>
        <w:t xml:space="preserve">This Sales Report details the unprecedented demand for specialized</w:t>
      </w:r>
      <w:r>
        <w:t xml:space="preserve"> </w:t>
      </w:r>
      <w:r>
        <w:rPr>
          <w:iCs/>
          <w:i/>
        </w:rPr>
        <w:t xml:space="preserve">Chemical Engineer</w:t>
      </w:r>
      <w:r>
        <w:t xml:space="preserve"> </w:t>
      </w:r>
      <w:r>
        <w:t xml:space="preserve">talent within Russia's industrial ecosystem, with Moscow serving as the undisputed strategic hub for high-value chemical sector projects. Q3 2024 marked a 37% YoY increase in sales volume for premium Chemical Engineering recruitment services across</w:t>
      </w:r>
      <w:r>
        <w:t xml:space="preserve"> </w:t>
      </w:r>
      <w:r>
        <w:rPr>
          <w:bCs/>
          <w:b/>
        </w:rPr>
        <w:t xml:space="preserve">Russia Moscow</w:t>
      </w:r>
      <w:r>
        <w:t xml:space="preserve">, driven by state-led industrial modernization, energy transition initiatives, and critical infrastructure development. Our firm achieved $1.85M in contracted placements (vs. $1.35M Q3 2023), securing positions for 42 elite Chemical Engineers at top-tier Petrochemicals, Pharmaceutical Manufacturing, and Environmental Technology firms headquartered in Moscow or its immediate economic zone.</w:t>
      </w:r>
    </w:p>
    <w:bookmarkEnd w:id="20"/>
    <w:bookmarkStart w:id="21" w:name="X828a3333c634e46f67abf2f67e102610863b11d"/>
    <w:p>
      <w:pPr>
        <w:pStyle w:val="Heading2"/>
      </w:pPr>
      <w:r>
        <w:t xml:space="preserve">II. Market Analysis: Why Moscow is the Epicenter for Chemical Engineering Sales</w:t>
      </w:r>
    </w:p>
    <w:p>
      <w:pPr>
        <w:pStyle w:val="FirstParagraph"/>
      </w:pPr>
      <w:r>
        <w:t xml:space="preserve">The Russian chemical industry represents a $118B market (Rosstat 2024), with Moscow Oblast and City accounting for 34% of national R&amp;D investment and 58% of high-complexity engineering projects. Key drivers fueling our</w:t>
      </w:r>
      <w:r>
        <w:t xml:space="preserve"> </w:t>
      </w:r>
      <w:r>
        <w:rPr>
          <w:bCs/>
          <w:b/>
        </w:rPr>
        <w:t xml:space="preserve">Chemical Engineer</w:t>
      </w:r>
      <w:r>
        <w:t xml:space="preserve"> </w:t>
      </w:r>
      <w:r>
        <w:t xml:space="preserve">sales performance include:</w:t>
      </w:r>
    </w:p>
    <w:p>
      <w:pPr>
        <w:numPr>
          <w:ilvl w:val="0"/>
          <w:numId w:val="1001"/>
        </w:numPr>
        <w:pStyle w:val="Compact"/>
      </w:pPr>
      <w:r>
        <w:rPr>
          <w:bCs/>
          <w:b/>
        </w:rPr>
        <w:t xml:space="preserve">National Project "Green Chemistry" (2021-2030):</w:t>
      </w:r>
      <w:r>
        <w:t xml:space="preserve"> </w:t>
      </w:r>
      <w:r>
        <w:t xml:space="preserve">Moscow-based entities like SIBUR Holding and Gazpromneft Chemical are investing $8.7B in catalytic process optimization and waste-to-resource technologies, demanding senior Chemical Engineers with expertise in sustainable process design.</w:t>
      </w:r>
    </w:p>
    <w:p>
      <w:pPr>
        <w:numPr>
          <w:ilvl w:val="0"/>
          <w:numId w:val="1001"/>
        </w:numPr>
        <w:pStyle w:val="Compact"/>
      </w:pPr>
      <w:r>
        <w:rPr>
          <w:bCs/>
          <w:b/>
        </w:rPr>
        <w:t xml:space="preserve">Sanction Resilience Strategy:</w:t>
      </w:r>
      <w:r>
        <w:t xml:space="preserve"> </w:t>
      </w:r>
      <w:r>
        <w:t xml:space="preserve">Accelerated domestic production of specialty chemicals (e.g., pharmaceutical intermediates, polymer additives) has created a 40% talent gap in Moscow's industrial corridor. Companies actively seek engineers certified under Russian GOST standards.</w:t>
      </w:r>
    </w:p>
    <w:p>
      <w:pPr>
        <w:numPr>
          <w:ilvl w:val="0"/>
          <w:numId w:val="1001"/>
        </w:numPr>
        <w:pStyle w:val="Compact"/>
      </w:pPr>
      <w:r>
        <w:rPr>
          <w:bCs/>
          <w:b/>
        </w:rPr>
        <w:t xml:space="preserve">Skolkovo Innovation Center Expansion:</w:t>
      </w:r>
      <w:r>
        <w:t xml:space="preserve"> </w:t>
      </w:r>
      <w:r>
        <w:t xml:space="preserve">The Moscow tech hub now hosts 128 chemical tech startups requiring process engineering talent for scalable biorefinery and electrochemical projects, directly boosting our sales pipeline.</w:t>
      </w:r>
    </w:p>
    <w:bookmarkEnd w:id="21"/>
    <w:bookmarkStart w:id="22" w:name="X595548d8fe78f6cf6f08d9cee4dfc5e151fe8d1"/>
    <w:p>
      <w:pPr>
        <w:pStyle w:val="Heading2"/>
      </w:pPr>
      <w:r>
        <w:t xml:space="preserve">III. Sales Performance Breakdown: Q3 2024 in Russia Moscow</w:t>
      </w:r>
    </w:p>
    <w:p>
      <w:pPr>
        <w:pStyle w:val="FirstParagraph"/>
      </w:pPr>
      <w:r>
        <w:t xml:space="preserve">Our sales team achieved record penetration in Moscow's chemical engineering market through targeted industry partnerships. Key metrics include:</w:t>
      </w:r>
    </w:p>
    <w:p>
      <w:pPr>
        <w:pStyle w:val="BodyText"/>
      </w:pPr>
      <w:r>
        <w:t xml:space="preserve">Client Sector</w:t>
      </w:r>
    </w:p>
    <w:p>
      <w:pPr>
        <w:pStyle w:val="BodyText"/>
      </w:pPr>
      <w:r>
        <w:t xml:space="preserve">Number of Placements</w:t>
      </w:r>
    </w:p>
    <w:p>
      <w:pPr>
        <w:pStyle w:val="BodyText"/>
      </w:pPr>
      <w:r>
        <w:t xml:space="preserve">Avg. Contract Value (RUB)</w:t>
      </w:r>
    </w:p>
    <w:p>
      <w:pPr>
        <w:pStyle w:val="BodyText"/>
      </w:pPr>
      <w:r>
        <w:t xml:space="preserve">Key Project Context</w:t>
      </w:r>
    </w:p>
    <w:p>
      <w:pPr>
        <w:pStyle w:val="BodyText"/>
      </w:pPr>
      <w:r>
        <w:t xml:space="preserve">Petrochemicals (Moscow-based HQ)</w:t>
      </w:r>
    </w:p>
    <w:p>
      <w:pPr>
        <w:pStyle w:val="BodyText"/>
      </w:pPr>
      <w:r>
        <w:t xml:space="preserve">21</w:t>
      </w:r>
    </w:p>
    <w:p>
      <w:pPr>
        <w:pStyle w:val="BodyText"/>
      </w:pPr>
      <w:r>
        <w:t xml:space="preserve">4.8M RUB</w:t>
      </w:r>
    </w:p>
    <w:p>
      <w:pPr>
        <w:pStyle w:val="BodyText"/>
      </w:pPr>
      <w:r>
        <w:t xml:space="preserve">SIBUR's new Moscow Region Ethylene Cracker Optimization Project</w:t>
      </w:r>
    </w:p>
    <w:p>
      <w:pPr>
        <w:pStyle w:val="BodyText"/>
      </w:pPr>
      <w:r>
        <w:t xml:space="preserve">Pharmaceutical Manufacturing (Moscow Cluster)</w:t>
      </w:r>
    </w:p>
    <w:p>
      <w:pPr>
        <w:pStyle w:val="BodyText"/>
      </w:pPr>
      <w:r>
        <w:t xml:space="preserve">10</w:t>
      </w:r>
    </w:p>
    <w:p>
      <w:pPr>
        <w:pStyle w:val="BodyText"/>
      </w:pPr>
      <w:r>
        <w:t xml:space="preserve">5.3M RUB</w:t>
      </w:r>
    </w:p>
    <w:p>
      <w:pPr>
        <w:pStyle w:val="BodyText"/>
      </w:pPr>
      <w:r>
        <w:t xml:space="preserve">Russia's national drug security initiative requiring GMP-certified Chemical Engineers for API synthesis plants.</w:t>
      </w:r>
    </w:p>
    <w:p>
      <w:pPr>
        <w:pStyle w:val="BodyText"/>
      </w:pPr>
      <w:r>
        <w:t xml:space="preserve">Sustainable Tech Startups (Skolkovo)</w:t>
      </w:r>
    </w:p>
    <w:p>
      <w:pPr>
        <w:pStyle w:val="BodyText"/>
      </w:pPr>
      <w:r>
        <w:t xml:space="preserve">7</w:t>
      </w:r>
    </w:p>
    <w:p>
      <w:pPr>
        <w:pStyle w:val="BodyText"/>
      </w:pPr>
      <w:r>
        <w:t xml:space="preserve">3.1M RUB</w:t>
      </w:r>
    </w:p>
    <w:p>
      <w:pPr>
        <w:pStyle w:val="BodyText"/>
      </w:pPr>
      <w:r>
        <w:t xml:space="preserve">Hydrogen production facility scaling at Moscow-based "GreenCycle"</w:t>
      </w:r>
    </w:p>
    <w:p>
      <w:pPr>
        <w:pStyle w:val="BodyText"/>
      </w:pPr>
      <w:r>
        <w:t xml:space="preserve">Eco-Compliance Firms (Moscow Regulatory Focus)</w:t>
      </w:r>
    </w:p>
    <w:p>
      <w:pPr>
        <w:pStyle w:val="BodyText"/>
      </w:pPr>
      <w:r>
        <w:t xml:space="preserve">42.9M RUB</w:t>
      </w:r>
    </w:p>
    <w:p>
      <w:pPr>
        <w:pStyle w:val="BodyText"/>
      </w:pPr>
      <w:r>
        <w:t xml:space="preserve">Mandatory environmental audits for 15+ chemical plants across Moscow Oblast.</w:t>
      </w:r>
    </w:p>
    <w:p>
      <w:pPr>
        <w:pStyle w:val="BodyText"/>
      </w:pPr>
      <w:r>
        <w:t xml:space="preserve">Notably, all placements required Russian citizenship or permanent residency, with 93% holding accredited degrees from Moscow State University or ITMO University. Our sales conversion rate rose to 68% (vs. 54% Q3 2023) due to our tailored compliance expertise for local labor regulations.</w:t>
      </w:r>
    </w:p>
    <w:bookmarkEnd w:id="22"/>
    <w:bookmarkStart w:id="23" w:name="X5afbdfe5770206af81cac743b7033b446441c8b"/>
    <w:p>
      <w:pPr>
        <w:pStyle w:val="Heading2"/>
      </w:pPr>
      <w:r>
        <w:t xml:space="preserve">IV. Challenges &amp; Strategic Response in the Russia Moscow Market</w:t>
      </w:r>
    </w:p>
    <w:p>
      <w:pPr>
        <w:pStyle w:val="FirstParagraph"/>
      </w:pPr>
      <w:r>
        <w:t xml:space="preserve">Despite robust demand, two critical challenges emerged:</w:t>
      </w:r>
    </w:p>
    <w:p>
      <w:pPr>
        <w:numPr>
          <w:ilvl w:val="0"/>
          <w:numId w:val="1002"/>
        </w:numPr>
        <w:pStyle w:val="Compact"/>
      </w:pPr>
      <w:r>
        <w:rPr>
          <w:bCs/>
          <w:b/>
        </w:rPr>
        <w:t xml:space="preserve">Talent Scarcity:</w:t>
      </w:r>
      <w:r>
        <w:t xml:space="preserve"> </w:t>
      </w:r>
      <w:r>
        <w:t xml:space="preserve">Only 17% of Moscow-based Chemical Engineers possess cross-functional skills (process design + digital twin modeling) demanded by new projects. *Our sales strategy:* Launched "Moscow Talent Accelerator" – a partnership with MIPT offering free certification in AI-driven process optimization, directly boosting our qualified candidate pool by 29%.</w:t>
      </w:r>
    </w:p>
    <w:p>
      <w:pPr>
        <w:numPr>
          <w:ilvl w:val="0"/>
          <w:numId w:val="1002"/>
        </w:numPr>
        <w:pStyle w:val="Compact"/>
      </w:pPr>
      <w:r>
        <w:rPr>
          <w:bCs/>
          <w:b/>
        </w:rPr>
        <w:t xml:space="preserve">Regulatory Complexity:</w:t>
      </w:r>
      <w:r>
        <w:t xml:space="preserve"> </w:t>
      </w:r>
      <w:r>
        <w:t xml:space="preserve">GOST and Federal Law 172-FZ compliance for foreign-engineered processes slowed client onboarding. *Our sales response:* Integrated "Moscow Regulatory Navigator" into all client contracts, reducing contract finalization time from 45 to 28 days.</w:t>
      </w:r>
    </w:p>
    <w:bookmarkEnd w:id="23"/>
    <w:bookmarkStart w:id="24" w:name="Xdb09aec9fe54599bf3e0b87eba727318827cd95"/>
    <w:p>
      <w:pPr>
        <w:pStyle w:val="Heading2"/>
      </w:pPr>
      <w:r>
        <w:t xml:space="preserve">V. Growth Opportunities: Targeting High-Impact Chemical Engineering Niches</w:t>
      </w:r>
    </w:p>
    <w:p>
      <w:pPr>
        <w:pStyle w:val="FirstParagraph"/>
      </w:pPr>
      <w:r>
        <w:t xml:space="preserve">Based on Q3 sales data, we identified three high-potential niches for expansion in the</w:t>
      </w:r>
      <w:r>
        <w:t xml:space="preserve"> </w:t>
      </w:r>
      <w:r>
        <w:rPr>
          <w:bCs/>
          <w:b/>
        </w:rPr>
        <w:t xml:space="preserve">Russia Moscow</w:t>
      </w:r>
      <w:r>
        <w:t xml:space="preserve"> </w:t>
      </w:r>
      <w:r>
        <w:t xml:space="preserve">market:</w:t>
      </w:r>
    </w:p>
    <w:p>
      <w:pPr>
        <w:numPr>
          <w:ilvl w:val="0"/>
          <w:numId w:val="1003"/>
        </w:numPr>
        <w:pStyle w:val="Compact"/>
      </w:pPr>
      <w:r>
        <w:rPr>
          <w:bCs/>
          <w:b/>
        </w:rPr>
        <w:t xml:space="preserve">Hydrogen Infrastructure Engineers:</w:t>
      </w:r>
      <w:r>
        <w:t xml:space="preserve"> </w:t>
      </w:r>
      <w:r>
        <w:t xml:space="preserve">With Russia's 2030 Hydrogen Roadmap, Moscow-based firms require engineers skilled in electrolysis and storage. Our sales pipeline shows 12 active client requests (valued at $4.6M).</w:t>
      </w:r>
    </w:p>
    <w:p>
      <w:pPr>
        <w:numPr>
          <w:ilvl w:val="0"/>
          <w:numId w:val="1003"/>
        </w:numPr>
        <w:pStyle w:val="Compact"/>
      </w:pPr>
      <w:r>
        <w:rPr>
          <w:bCs/>
          <w:b/>
        </w:rPr>
        <w:t xml:space="preserve">Circular Economy Process Specialists:</w:t>
      </w:r>
      <w:r>
        <w:t xml:space="preserve"> </w:t>
      </w:r>
      <w:r>
        <w:t xml:space="preserve">Mandatory waste valorization targets under Moscow's 2030 Environmental Strategy created demand for Chemical Engineers with biorefinery expertise (18 new leads identified).</w:t>
      </w:r>
    </w:p>
    <w:p>
      <w:pPr>
        <w:numPr>
          <w:ilvl w:val="0"/>
          <w:numId w:val="1003"/>
        </w:numPr>
        <w:pStyle w:val="Compact"/>
      </w:pPr>
      <w:r>
        <w:rPr>
          <w:bCs/>
          <w:b/>
        </w:rPr>
        <w:t xml:space="preserve">Digital Transformation Leads:</w:t>
      </w:r>
      <w:r>
        <w:t xml:space="preserve"> </w:t>
      </w:r>
      <w:r>
        <w:t xml:space="preserve">76% of top Moscow chemical firms now seek Chemical Engineers certified in Aspen Plus and Siemens Process Control – a service our sales team is actively cross-selling.</w:t>
      </w:r>
    </w:p>
    <w:bookmarkEnd w:id="24"/>
    <w:bookmarkStart w:id="25" w:name="Xdfa9486a57b236d1e8aef2b4d5f6418cfa9c0c0"/>
    <w:p>
      <w:pPr>
        <w:pStyle w:val="Heading2"/>
      </w:pPr>
      <w:r>
        <w:t xml:space="preserve">VI. Conclusion: The Unmatched Value Proposition for Chemical Engineer Sales in Moscow</w:t>
      </w:r>
    </w:p>
    <w:p>
      <w:pPr>
        <w:pStyle w:val="FirstParagraph"/>
      </w:pPr>
      <w:r>
        <w:t xml:space="preserve">The Q3 2024 Sales Report confirms Moscow's status as Russia's premier market for high-value Chemical Engineering talent acquisition. Demand is not merely growing – it is accelerating due to national industrial priorities directly tied to geopolitical resilience. Our firm’s localized approach, combining deep knowledge of Russian accreditation systems (including EHEA recognition), strategic partnerships with Moscow’s innovation ecosystem, and rapid regulatory navigation, has established us as the partner of choice for chemical industry leaders in this critical market.</w:t>
      </w:r>
    </w:p>
    <w:p>
      <w:pPr>
        <w:pStyle w:val="BodyText"/>
      </w:pPr>
      <w:r>
        <w:t xml:space="preserve">Looking ahead to Q4 2024, we project a 28% increase in Chemical Engineer sales volume for</w:t>
      </w:r>
      <w:r>
        <w:t xml:space="preserve"> </w:t>
      </w:r>
      <w:r>
        <w:rPr>
          <w:bCs/>
          <w:b/>
        </w:rPr>
        <w:t xml:space="preserve">Russia Moscow</w:t>
      </w:r>
      <w:r>
        <w:t xml:space="preserve">, driven by the completion of three major Petrochemical Complex expansions and accelerated implementation of the National Project "Digital Chemistry." We recommend doubling down on partnerships with Skolkovo and Moscow-based R&amp;D clusters to capture this strategic opportunity. The future of chemical engineering in Russia is being written in Moscow – and our sales performance proves we are at its forefront.</w:t>
      </w:r>
    </w:p>
    <w:p>
      <w:pPr>
        <w:pStyle w:val="BodyText"/>
      </w:pPr>
      <w:r>
        <w:rPr>
          <w:bCs/>
          <w:b/>
        </w:rPr>
        <w:t xml:space="preserve">Prepared By:</w:t>
      </w:r>
      <w:r>
        <w:t xml:space="preserve"> </w:t>
      </w:r>
      <w:r>
        <w:t xml:space="preserve">Alexei Volkov, Director of Sales, Eastern Europe Operations</w:t>
      </w:r>
      <w:r>
        <w:br/>
      </w:r>
      <w:r>
        <w:rPr>
          <w:bCs/>
          <w:b/>
        </w:rPr>
        <w:t xml:space="preserve">Contact:</w:t>
      </w:r>
      <w:r>
        <w:t xml:space="preserve"> </w:t>
      </w:r>
      <w:r>
        <w:t xml:space="preserve">a.volkov@techchemsolutions.global | +7 (495) 789-0123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in Russia Moscow</dc:title>
  <dc:creator/>
  <dc:language>en</dc:language>
  <cp:keywords/>
  <dcterms:created xsi:type="dcterms:W3CDTF">2026-07-21T06:04:17Z</dcterms:created>
  <dcterms:modified xsi:type="dcterms:W3CDTF">2026-07-21T06:04:17Z</dcterms:modified>
</cp:coreProperties>
</file>

<file path=docProps/custom.xml><?xml version="1.0" encoding="utf-8"?>
<Properties xmlns="http://schemas.openxmlformats.org/officeDocument/2006/custom-properties" xmlns:vt="http://schemas.openxmlformats.org/officeDocument/2006/docPropsVTypes"/>
</file>