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6002ec41bd022f1da6adc1c23af19db26ad161"/>
    <w:p>
      <w:pPr>
        <w:pStyle w:val="Heading1"/>
      </w:pPr>
      <w:r>
        <w:t xml:space="preserve">Sales Report: Strategic Analysis of Chemical Engineer Recruitment Market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Talent Acquisition Division</w:t>
      </w:r>
      <w:r>
        <w:br/>
      </w:r>
      <w:r>
        <w:rPr>
          <w:bCs/>
          <w:b/>
        </w:rPr>
        <w:t xml:space="preserve">Region:</w:t>
      </w:r>
      <w:r>
        <w:t xml:space="preserve"> </w:t>
      </w:r>
      <w:r>
        <w:t xml:space="preserve">Riyadh, Kingdom of Saudi Arabia (KSA)</w:t>
      </w:r>
    </w:p>
    <w:bookmarkStart w:id="20" w:name="i.-executive-summary"/>
    <w:p>
      <w:pPr>
        <w:pStyle w:val="Heading2"/>
      </w:pPr>
      <w:r>
        <w:t xml:space="preserve">I. Executive Summary</w:t>
      </w:r>
    </w:p>
    <w:p>
      <w:pPr>
        <w:pStyle w:val="FirstParagraph"/>
      </w:pPr>
      <w:r>
        <w:t xml:space="preserve">This Sales Report provides a comprehensive analysis of the current demand and recruitment landscape for Chemical Engineers within Riyadh, the economic and administrative hub of Saudi Arabia. The data confirms an unprecedented surge in sales opportunities targeting top-tier chemical engineering talent to support the Kingdom’s Vision 2030 industrial transformation. With major projects like NEOM, Qiddiya, and expanded petrochemical complexes under active development in Riyadh, Chemical Engineers are positioned as critical assets driving operational excellence and innovation. This report details market dynamics, key client needs, competitive positioning, and a clear path to achieving a 25% increase in successful placements within the next fiscal quarter.</w:t>
      </w:r>
    </w:p>
    <w:bookmarkEnd w:id="20"/>
    <w:bookmarkStart w:id="21" w:name="X0aa01897903b6f84158ad0683fa3f6e487eaa8f"/>
    <w:p>
      <w:pPr>
        <w:pStyle w:val="Heading2"/>
      </w:pPr>
      <w:r>
        <w:t xml:space="preserve">II. Market Context: Riyadh as the Epicenter of Saudi Industrial Growth</w:t>
      </w:r>
    </w:p>
    <w:p>
      <w:pPr>
        <w:pStyle w:val="FirstParagraph"/>
      </w:pPr>
      <w:r>
        <w:t xml:space="preserve">Riyadh is not merely a location for this Sales Report; it is the strategic nerve center for Saudi Arabia’s industrial renaissance. The city houses headquarters of Aramco, SABIC, and numerous international engineering firms central to KSA’s downstream expansion. Recent government investments exceeding SAR 500 billion in petrochemicals, water desalination plants (e.g., Al Khafji), and renewable energy integration projects directly fuel demand for specialized Chemical Engineers. Our sales data reveals a 38% YoY increase in job postings specifically seeking Chemical Engineers within Riyadh-based firms, outpacing national averages by 15%. This growth is intrinsically linked to the Kingdom’s commitment to diversifying its economy beyond oil, making Riyadh the undisputed focal point for talent acquisition in this field.</w:t>
      </w:r>
    </w:p>
    <w:bookmarkEnd w:id="21"/>
    <w:bookmarkStart w:id="22" w:name="X26746f9f47e312f4636b0c9d2edf74d6553703a"/>
    <w:p>
      <w:pPr>
        <w:pStyle w:val="Heading2"/>
      </w:pPr>
      <w:r>
        <w:t xml:space="preserve">III. Sales Performance &amp; Client Demand Analysis</w:t>
      </w:r>
    </w:p>
    <w:p>
      <w:pPr>
        <w:pStyle w:val="FirstParagraph"/>
      </w:pPr>
      <w:r>
        <w:rPr>
          <w:bCs/>
          <w:b/>
        </w:rPr>
        <w:t xml:space="preserve">Current Pipeline (Riyadh Focus):</w:t>
      </w:r>
    </w:p>
    <w:p>
      <w:pPr>
        <w:numPr>
          <w:ilvl w:val="0"/>
          <w:numId w:val="1001"/>
        </w:numPr>
        <w:pStyle w:val="Compact"/>
      </w:pPr>
      <w:r>
        <w:rPr>
          <w:iCs/>
          <w:i/>
        </w:rPr>
        <w:t xml:space="preserve">Active Clients:</w:t>
      </w:r>
      <w:r>
        <w:t xml:space="preserve"> </w:t>
      </w:r>
      <w:r>
        <w:t xml:space="preserve">47 major industrial, energy, and engineering firms in Riyadh (including 15 Fortune 500 subsidiaries).</w:t>
      </w:r>
    </w:p>
    <w:p>
      <w:pPr>
        <w:numPr>
          <w:ilvl w:val="0"/>
          <w:numId w:val="1001"/>
        </w:numPr>
        <w:pStyle w:val="Compact"/>
      </w:pPr>
      <w:r>
        <w:rPr>
          <w:iCs/>
          <w:i/>
        </w:rPr>
        <w:t xml:space="preserve">Open Positions:</w:t>
      </w:r>
      <w:r>
        <w:t xml:space="preserve"> </w:t>
      </w:r>
      <w:r>
        <w:t xml:space="preserve">218 Chemical Engineer roles requiring immediate placement (Senior to Principal levels).</w:t>
      </w:r>
    </w:p>
    <w:p>
      <w:pPr>
        <w:numPr>
          <w:ilvl w:val="0"/>
          <w:numId w:val="1001"/>
        </w:numPr>
        <w:pStyle w:val="Compact"/>
      </w:pPr>
      <w:r>
        <w:rPr>
          <w:iCs/>
          <w:i/>
        </w:rPr>
        <w:t xml:space="preserve">Sales Conversion Rate:</w:t>
      </w:r>
      <w:r>
        <w:t xml:space="preserve"> </w:t>
      </w:r>
      <w:r>
        <w:t xml:space="preserve">62% for specialized Chemical Engineer profiles versus industry average of 47%.</w:t>
      </w:r>
    </w:p>
    <w:p>
      <w:pPr>
        <w:pStyle w:val="FirstParagraph"/>
      </w:pPr>
      <w:r>
        <w:rPr>
          <w:bCs/>
          <w:b/>
        </w:rPr>
        <w:t xml:space="preserve">Key Client Requirements Driving Sales Success:</w:t>
      </w:r>
    </w:p>
    <w:p>
      <w:pPr>
        <w:numPr>
          <w:ilvl w:val="0"/>
          <w:numId w:val="1002"/>
        </w:numPr>
        <w:pStyle w:val="Compact"/>
      </w:pPr>
      <w:r>
        <w:rPr>
          <w:bCs/>
          <w:b/>
        </w:rPr>
        <w:t xml:space="preserve">Technical Expertise:</w:t>
      </w:r>
      <w:r>
        <w:t xml:space="preserve"> </w:t>
      </w:r>
      <w:r>
        <w:t xml:space="preserve">Proficiency in refinery operations, process optimization, and AI-driven plant management (e.g., predictive maintenance systems) is non-negotiable for Riyadh-based clients.</w:t>
      </w:r>
    </w:p>
    <w:p>
      <w:pPr>
        <w:numPr>
          <w:ilvl w:val="0"/>
          <w:numId w:val="1002"/>
        </w:numPr>
        <w:pStyle w:val="Compact"/>
      </w:pPr>
      <w:r>
        <w:rPr>
          <w:bCs/>
          <w:b/>
        </w:rPr>
        <w:t xml:space="preserve">Cultural &amp; Regulatory Alignment:</w:t>
      </w:r>
      <w:r>
        <w:t xml:space="preserve"> </w:t>
      </w:r>
      <w:r>
        <w:t xml:space="preserve">Candidates must understand Saudi industrial standards (SASO), safety protocols (ILO), and the nuances of operating within a Kingdom context, including language adaptability (Arabic fluency preferred).</w:t>
      </w:r>
    </w:p>
    <w:p>
      <w:pPr>
        <w:numPr>
          <w:ilvl w:val="0"/>
          <w:numId w:val="1002"/>
        </w:numPr>
        <w:pStyle w:val="Compact"/>
      </w:pPr>
      <w:r>
        <w:rPr>
          <w:bCs/>
          <w:b/>
        </w:rPr>
        <w:t xml:space="preserve">Vision 2030 Synergy:</w:t>
      </w:r>
      <w:r>
        <w:t xml:space="preserve"> </w:t>
      </w:r>
      <w:r>
        <w:t xml:space="preserve">Clients actively seek Chemical Engineers who can contribute to sustainability goals—e.g., carbon capture implementation or zero-waste manufacturing initiatives aligned with Riyadh’s green city frameworks.</w:t>
      </w:r>
    </w:p>
    <w:bookmarkEnd w:id="22"/>
    <w:bookmarkStart w:id="23" w:name="X8d098c6e49cb99eb153bf1f3e2c14e82f629818"/>
    <w:p>
      <w:pPr>
        <w:pStyle w:val="Heading2"/>
      </w:pPr>
      <w:r>
        <w:t xml:space="preserve">IV. Competitive Landscape &amp; Our Value Proposition</w:t>
      </w:r>
    </w:p>
    <w:p>
      <w:pPr>
        <w:pStyle w:val="FirstParagraph"/>
      </w:pPr>
      <w:r>
        <w:t xml:space="preserve">The Riyadh Chemical Engineer recruitment market is intensely competitive, with 8 major agencies vying for the same high-value accounts. Our differentiation stems from:</w:t>
      </w:r>
    </w:p>
    <w:p>
      <w:pPr>
        <w:numPr>
          <w:ilvl w:val="0"/>
          <w:numId w:val="1003"/>
        </w:numPr>
        <w:pStyle w:val="Compact"/>
      </w:pPr>
      <w:r>
        <w:rPr>
          <w:bCs/>
          <w:b/>
        </w:rPr>
        <w:t xml:space="preserve">Hyper-Local Market Intelligence:</w:t>
      </w:r>
      <w:r>
        <w:t xml:space="preserve"> </w:t>
      </w:r>
      <w:r>
        <w:t xml:space="preserve">Deep networks within Riyadh’s industrial parks (e.g., King Abdullah Economic City connections) and partnerships with King Saud University’s Chemical Engineering Department.</w:t>
      </w:r>
    </w:p>
    <w:p>
      <w:pPr>
        <w:numPr>
          <w:ilvl w:val="0"/>
          <w:numId w:val="1003"/>
        </w:numPr>
        <w:pStyle w:val="Compact"/>
      </w:pPr>
      <w:r>
        <w:rPr>
          <w:bCs/>
          <w:b/>
        </w:rPr>
        <w:t xml:space="preserve">Solution-Oriented Sales Approach:</w:t>
      </w:r>
      <w:r>
        <w:t xml:space="preserve"> </w:t>
      </w:r>
      <w:r>
        <w:t xml:space="preserve">We don’t just fill roles—we provide clients with a 90-day performance roadmap for new hires, directly addressing Riyadh project deadlines (e.g., Qiddiya Entertainment City’s engineering phase).</w:t>
      </w:r>
    </w:p>
    <w:p>
      <w:pPr>
        <w:numPr>
          <w:ilvl w:val="0"/>
          <w:numId w:val="1003"/>
        </w:numPr>
        <w:pStyle w:val="Compact"/>
      </w:pPr>
      <w:r>
        <w:rPr>
          <w:bCs/>
          <w:b/>
        </w:rPr>
        <w:t xml:space="preserve">Compliance Assurance:</w:t>
      </w:r>
      <w:r>
        <w:t xml:space="preserve"> </w:t>
      </w:r>
      <w:r>
        <w:t xml:space="preserve">Our vetting process guarantees candidates meet Saudi Ministry of Human Resources requirements and local labor law standards, eliminating client risk.</w:t>
      </w:r>
    </w:p>
    <w:bookmarkEnd w:id="23"/>
    <w:bookmarkStart w:id="24" w:name="v.-challenges-strategic-response-plan"/>
    <w:p>
      <w:pPr>
        <w:pStyle w:val="Heading2"/>
      </w:pPr>
      <w:r>
        <w:t xml:space="preserve">V. Challenges &amp; Strategic Response Plan</w:t>
      </w:r>
    </w:p>
    <w:p>
      <w:pPr>
        <w:pStyle w:val="FirstParagraph"/>
      </w:pPr>
      <w:r>
        <w:rPr>
          <w:iCs/>
          <w:i/>
        </w:rPr>
        <w:t xml:space="preserve">Primary Challenge:</w:t>
      </w:r>
      <w:r>
        <w:t xml:space="preserve"> </w:t>
      </w:r>
      <w:r>
        <w:t xml:space="preserve">Shortage of mid-to-senior-level Chemical Engineers with both technical mastery and Riyadh-specific operational experience. Approximately 65% of clients report a 4–6 month recruitment cycle for qualified candidates.</w:t>
      </w:r>
    </w:p>
    <w:p>
      <w:pPr>
        <w:pStyle w:val="BodyText"/>
      </w:pPr>
      <w:r>
        <w:rPr>
          <w:iCs/>
          <w:i/>
        </w:rPr>
        <w:t xml:space="preserve">Strategic Response:</w:t>
      </w:r>
    </w:p>
    <w:p>
      <w:pPr>
        <w:numPr>
          <w:ilvl w:val="0"/>
          <w:numId w:val="1004"/>
        </w:numPr>
        <w:pStyle w:val="Compact"/>
      </w:pPr>
      <w:r>
        <w:rPr>
          <w:bCs/>
          <w:b/>
        </w:rPr>
        <w:t xml:space="preserve">Targeted Talent Sourcing:</w:t>
      </w:r>
      <w:r>
        <w:t xml:space="preserve"> </w:t>
      </w:r>
      <w:r>
        <w:t xml:space="preserve">Launching a dedicated Riyadh Chemical Engineer talent pool via partnerships with local universities (e.g., King Fahd University of Petroleum &amp; Minerals) and professional bodies like the Saudi Society for Engineering.</w:t>
      </w:r>
    </w:p>
    <w:p>
      <w:pPr>
        <w:numPr>
          <w:ilvl w:val="0"/>
          <w:numId w:val="1004"/>
        </w:numPr>
        <w:pStyle w:val="Compact"/>
      </w:pPr>
      <w:r>
        <w:rPr>
          <w:bCs/>
          <w:b/>
        </w:rPr>
        <w:t xml:space="preserve">Sales Campaign "Riyadh Catalyst":</w:t>
      </w:r>
      <w:r>
        <w:t xml:space="preserve"> </w:t>
      </w:r>
      <w:r>
        <w:t xml:space="preserve">A 3-month initiative offering free Vision 2030 compliance workshops to clients, positioning us as strategic partners—not just recruiters.</w:t>
      </w:r>
    </w:p>
    <w:p>
      <w:pPr>
        <w:numPr>
          <w:ilvl w:val="0"/>
          <w:numId w:val="1004"/>
        </w:numPr>
        <w:pStyle w:val="Compact"/>
      </w:pPr>
      <w:r>
        <w:rPr>
          <w:bCs/>
          <w:b/>
        </w:rPr>
        <w:t xml:space="preserve">Premium Service Tier:</w:t>
      </w:r>
      <w:r>
        <w:t xml:space="preserve"> </w:t>
      </w:r>
      <w:r>
        <w:t xml:space="preserve">Introducing a "Riyadh Retention Package" for placed candidates (housing assistance, cultural orientation), directly reducing client turnover costs by an estimated 28%.</w:t>
      </w:r>
    </w:p>
    <w:bookmarkEnd w:id="24"/>
    <w:bookmarkStart w:id="25" w:name="vi.-financial-impact-sales-targets"/>
    <w:p>
      <w:pPr>
        <w:pStyle w:val="Heading2"/>
      </w:pPr>
      <w:r>
        <w:t xml:space="preserve">VI. Financial Impact &amp; Sales Targets</w:t>
      </w:r>
    </w:p>
    <w:p>
      <w:pPr>
        <w:pStyle w:val="FirstParagraph"/>
      </w:pPr>
      <w:r>
        <w:t xml:space="preserve">The current Chemical Engineer placement rate in Riyadh generates a 40% gross margin per hire, significantly higher than the company average of 30%. With the regional pipeline holding over SAR 14.5 million in potential revenue from open roles, capturing just 25% of this opportunity will directly contribute SAR 3.6 million to Q4 sales targets. We project a minimum of **87 successful placements** within Riyadh by January 2024, representing a direct increase of $198k in quarterly revenue.</w:t>
      </w:r>
    </w:p>
    <w:bookmarkEnd w:id="25"/>
    <w:bookmarkStart w:id="26" w:name="X344fb99cbdeb4af21a56369a45c910f5fe6603f"/>
    <w:p>
      <w:pPr>
        <w:pStyle w:val="Heading2"/>
      </w:pPr>
      <w:r>
        <w:t xml:space="preserve">VII. Conclusion: The Unmatched Opportunity in Riyadh</w:t>
      </w:r>
    </w:p>
    <w:p>
      <w:pPr>
        <w:pStyle w:val="FirstParagraph"/>
      </w:pPr>
      <w:r>
        <w:t xml:space="preserve">This Sales Report underscores that the demand for Chemical Engineers in Saudi Arabia is not uniform—it is intensely concentrated and accelerating within Riyadh. The city’s role as the engine of Vision 2030, combined with its strategic infrastructure and government backing, creates a market where specialized Chemical Engineering talent commands premium value. Our sales strategy must center on Riyadh as the definitive battleground for market leadership. By leveraging our localized expertise, proactive client engagement model, and commitment to Kingdom-wide operational standards, we are positioned not just to meet demand—but to define it.</w:t>
      </w:r>
    </w:p>
    <w:p>
      <w:pPr>
        <w:pStyle w:val="BodyText"/>
      </w:pPr>
      <w:r>
        <w:rPr>
          <w:bCs/>
          <w:b/>
        </w:rPr>
        <w:t xml:space="preserve">Recommendation:</w:t>
      </w:r>
      <w:r>
        <w:t xml:space="preserve"> </w:t>
      </w:r>
      <w:r>
        <w:t xml:space="preserve">Approve the "Riyadh Catalyst" sales campaign budget of SAR 285,000. This investment will directly unlock 45+ new client engagements in Riyadh over Q4, ensuring we capture the lion’s share of this high-margin market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Riyadh, Saudi Arabia</dc:title>
  <dc:creator/>
  <dc:language>en</dc:language>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