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Istanbul,</w:t>
      </w:r>
      <w:r>
        <w:t xml:space="preserve"> </w:t>
      </w:r>
      <w:r>
        <w:t xml:space="preserve">Turkey</w:t>
      </w:r>
    </w:p>
    <w:bookmarkStart w:id="27" w:name="X11631184ca0b1a83d5463633c4d9668b6a8bcc5"/>
    <w:p>
      <w:pPr>
        <w:pStyle w:val="Heading1"/>
      </w:pPr>
      <w:r>
        <w:t xml:space="preserve">Sales Report: Strategic Recruitment of Chemical Engineers to Drive Growth in Istanbul's Dynamic Industrial Landscape</w:t>
      </w:r>
    </w:p>
    <w:p>
      <w:pPr>
        <w:pStyle w:val="FirstParagraph"/>
      </w:pPr>
      <w:r>
        <w:rPr>
          <w:bCs/>
          <w:b/>
        </w:rPr>
        <w:t xml:space="preserve">Prepared For:</w:t>
      </w:r>
      <w:r>
        <w:t xml:space="preserve"> </w:t>
      </w:r>
      <w:r>
        <w:t xml:space="preserve">Executive Leadership, Global Sales &amp; Talent Acquisition Teams</w:t>
      </w:r>
      <w:r>
        <w:br/>
      </w:r>
      <w:r>
        <w:rPr>
          <w:bCs/>
          <w:b/>
        </w:rPr>
        <w:t xml:space="preserve">Date:</w:t>
      </w:r>
      <w:r>
        <w:t xml:space="preserve"> </w:t>
      </w:r>
      <w:r>
        <w:t xml:space="preserve">October 26, 2023</w:t>
      </w:r>
      <w:r>
        <w:br/>
      </w:r>
      <w:r>
        <w:rPr>
          <w:bCs/>
          <w:b/>
        </w:rPr>
        <w:t xml:space="preserve">Location Focus:</w:t>
      </w:r>
      <w:r>
        <w:t xml:space="preserve"> </w:t>
      </w:r>
      <w:r>
        <w:t xml:space="preserve">Istanbul, Turkey</w:t>
      </w:r>
    </w:p>
    <w:bookmarkStart w:id="20" w:name="i.-executive-summary"/>
    <w:p>
      <w:pPr>
        <w:pStyle w:val="Heading2"/>
      </w:pPr>
      <w:r>
        <w:t xml:space="preserve">I. Executive Summary</w:t>
      </w:r>
    </w:p>
    <w:p>
      <w:pPr>
        <w:pStyle w:val="FirstParagraph"/>
      </w:pPr>
      <w:r>
        <w:t xml:space="preserve">This report outlines the critical strategic imperative for augmenting our Chemical Engineer talent pipeline within Istanbul, Turkey. With Turkey's chemical industry projected to grow at 6.8% annually (Turkish Statistical Institute, 2023), and Istanbul serving as the nation's undisputed industrial, logistical, and commercial hub, securing skilled Chemical Engineers is no longer optional—it is the cornerstone of our market penetration strategy. This document details current market demands, competitive landscape analysis specific to Turkey Istanbul operations, and a targeted sales-driven recruitment action plan designed to accelerate revenue growth by 25% within 18 months.</w:t>
      </w:r>
    </w:p>
    <w:bookmarkEnd w:id="20"/>
    <w:bookmarkStart w:id="21" w:name="Xd48359aab53edba5a8a685c68163363886ca2dd"/>
    <w:p>
      <w:pPr>
        <w:pStyle w:val="Heading2"/>
      </w:pPr>
      <w:r>
        <w:t xml:space="preserve">II. Market Analysis: The Istanbul Chemical Industry Imperative</w:t>
      </w:r>
    </w:p>
    <w:p>
      <w:pPr>
        <w:pStyle w:val="FirstParagraph"/>
      </w:pPr>
      <w:r>
        <w:t xml:space="preserve">Istanbul is not merely a location for our operations; it is the engine room of Turkey's chemical sector. Home to over 40% of the country's major petrochemical complexes (including TÜPRAŞ in Tuzla and PETKIM in Gebze), manufacturing hubs, and critical logistics nodes like the Port of Istanbul, the city represents an unparalleled concentration of high-value industrial activity. The Turkish Chemical Industry Association (TKİ) reports that exports from this sector exceeded $14 billion in 2022, with EU-bound products requiring strict chemical process compliance – a domain where specialized Chemical Engineers are indispensable.</w:t>
      </w:r>
    </w:p>
    <w:p>
      <w:pPr>
        <w:pStyle w:val="BodyText"/>
      </w:pPr>
      <w:r>
        <w:t xml:space="preserve">Our competitive analysis reveals a severe talent deficit: Istanbul-based chemical manufacturing firms report an average 35% vacancy rate for senior Process/Chemical Engineering roles, directly impacting operational efficiency and client delivery timelines. This gap presents a significant sales opportunity. A Chemical Engineer's ability to optimize production lines, ensure regulatory adherence (Turkish Standards Institute - TSE), and implement sustainable practices is now a key differentiator in securing major contracts with multinational clients operating within Turkey's free zones (e.g., Istanbul Free Zone, Kadıköy Industrial Area).</w:t>
      </w:r>
    </w:p>
    <w:bookmarkEnd w:id="21"/>
    <w:bookmarkStart w:id="22" w:name="X24a049e8d255d54b89ba6761e370287ecc69beb"/>
    <w:p>
      <w:pPr>
        <w:pStyle w:val="Heading2"/>
      </w:pPr>
      <w:r>
        <w:t xml:space="preserve">III. The Critical Role of the Chemical Engineer: Beyond Technical Execution</w:t>
      </w:r>
    </w:p>
    <w:p>
      <w:pPr>
        <w:pStyle w:val="FirstParagraph"/>
      </w:pPr>
      <w:r>
        <w:t xml:space="preserve">In the context of our sales strategy for Turkey Istanbul, the Chemical Engineer is not a passive technical role; they are a proactive revenue driver. Their impact manifests directly in our key sales metrics:</w:t>
      </w:r>
    </w:p>
    <w:p>
      <w:pPr>
        <w:numPr>
          <w:ilvl w:val="0"/>
          <w:numId w:val="1001"/>
        </w:numPr>
        <w:pStyle w:val="Compact"/>
      </w:pPr>
      <w:r>
        <w:rPr>
          <w:bCs/>
          <w:b/>
        </w:rPr>
        <w:t xml:space="preserve">Client Acquisition &amp; Retention:</w:t>
      </w:r>
      <w:r>
        <w:t xml:space="preserve"> </w:t>
      </w:r>
      <w:r>
        <w:t xml:space="preserve">Engineers capable of designing compliant, efficient production processes for EU-standard chemicals (e.g., REACH regulation) are essential for winning contracts with major European distributors headquartered in Istanbul or supplying via the Bosphorus corridor.</w:t>
      </w:r>
    </w:p>
    <w:p>
      <w:pPr>
        <w:numPr>
          <w:ilvl w:val="0"/>
          <w:numId w:val="1001"/>
        </w:numPr>
        <w:pStyle w:val="Compact"/>
      </w:pPr>
      <w:r>
        <w:rPr>
          <w:bCs/>
          <w:b/>
        </w:rPr>
        <w:t xml:space="preserve">Operational Cost Reduction:</w:t>
      </w:r>
      <w:r>
        <w:t xml:space="preserve"> </w:t>
      </w:r>
      <w:r>
        <w:t xml:space="preserve">A single senior Chemical Engineer optimizing a polymerization process can reduce raw material waste by 8-12%, directly improving project margins and enabling competitive pricing – a critical factor in tender negotiations within the congested Istanbul market.</w:t>
      </w:r>
    </w:p>
    <w:p>
      <w:pPr>
        <w:numPr>
          <w:ilvl w:val="0"/>
          <w:numId w:val="1001"/>
        </w:numPr>
        <w:pStyle w:val="Compact"/>
      </w:pPr>
      <w:r>
        <w:rPr>
          <w:bCs/>
          <w:b/>
        </w:rPr>
        <w:t xml:space="preserve">Innovation &amp; New Revenue Streams:</w:t>
      </w:r>
      <w:r>
        <w:t xml:space="preserve"> </w:t>
      </w:r>
      <w:r>
        <w:t xml:space="preserve">Engineers developing novel, sustainable catalysts or biodegradable processes position us to capture emerging markets in green chemicals, a rapidly growing segment fueled by EU Green Deal incentives and local Turkish environmental policies (e.g., Circular Economy Action Plan).</w:t>
      </w:r>
    </w:p>
    <w:bookmarkEnd w:id="22"/>
    <w:bookmarkStart w:id="23" w:name="X1503053eeec558e5669f1b00aed59c311c0dc2f"/>
    <w:p>
      <w:pPr>
        <w:pStyle w:val="Heading2"/>
      </w:pPr>
      <w:r>
        <w:t xml:space="preserve">IV. Current Talent Landscape &amp; Sales Impact Gap</w:t>
      </w:r>
    </w:p>
    <w:p>
      <w:pPr>
        <w:pStyle w:val="FirstParagraph"/>
      </w:pPr>
      <w:r>
        <w:t xml:space="preserve">The Istanbul market faces unique challenges: intense competition from established firms like Borusan Holding, Kordsa, and international players (BASF, SABIC) for the same elite talent pool. Our current sales pipeline is hampered by a 6-month average time-to-fill for Chemical Engineer roles – significantly longer than the industry benchmark of 3-4 months. This delay directly translates to lost opportunities:</w:t>
      </w:r>
    </w:p>
    <w:p>
      <w:pPr>
        <w:pStyle w:val="BodyText"/>
      </w:pPr>
      <w:r>
        <w:t xml:space="preserve">Impact Factor</w:t>
      </w:r>
    </w:p>
    <w:p>
      <w:pPr>
        <w:pStyle w:val="BodyText"/>
      </w:pPr>
      <w:r>
        <w:t xml:space="preserve">Current Status (Istanbul)</w:t>
      </w:r>
    </w:p>
    <w:p>
      <w:pPr>
        <w:pStyle w:val="BodyText"/>
      </w:pPr>
      <w:r>
        <w:t xml:space="preserve">Industry Benchmark</w:t>
      </w:r>
    </w:p>
    <w:p>
      <w:pPr>
        <w:pStyle w:val="BodyText"/>
      </w:pPr>
      <w:r>
        <w:t xml:space="preserve">Sales Impact Loss</w:t>
      </w:r>
    </w:p>
    <w:p>
      <w:pPr>
        <w:pStyle w:val="BodyText"/>
      </w:pPr>
      <w:r>
        <w:t xml:space="preserve">Average Time-to-Fill for Chemical Eng.</w:t>
      </w:r>
    </w:p>
    <w:p>
      <w:pPr>
        <w:pStyle w:val="BodyText"/>
      </w:pPr>
      <w:r>
        <w:t xml:space="preserve">6.2 months</w:t>
      </w:r>
    </w:p>
    <w:p>
      <w:pPr>
        <w:pStyle w:val="BodyText"/>
      </w:pPr>
      <w:r>
        <w:t xml:space="preserve">3.5 months</w:t>
      </w:r>
    </w:p>
    <w:p>
      <w:pPr>
        <w:pStyle w:val="BodyText"/>
      </w:pPr>
      <w:r>
        <w:t xml:space="preserve">~18% of sales pipeline lost quarterly</w:t>
      </w:r>
    </w:p>
    <w:p>
      <w:pPr>
        <w:pStyle w:val="BodyText"/>
      </w:pPr>
      <w:r>
        <w:t xml:space="preserve">Talent Shortage Rate (Senior Roles)</w:t>
      </w:r>
    </w:p>
    <w:p>
      <w:pPr>
        <w:pStyle w:val="BodyText"/>
      </w:pPr>
      <w:r>
        <w:t xml:space="preserve">35%</w:t>
      </w:r>
    </w:p>
    <w:p>
      <w:pPr>
        <w:pStyle w:val="BodyText"/>
      </w:pPr>
      <w:r>
        <w:t xml:space="preserve">22%</w:t>
      </w:r>
    </w:p>
    <w:p>
      <w:pPr>
        <w:pStyle w:val="BodyText"/>
      </w:pPr>
      <w:r>
        <w:t xml:space="preserve">Limited capacity to bid on large-scale projects</w:t>
      </w:r>
    </w:p>
    <w:p>
      <w:pPr>
        <w:pStyle w:val="BodyText"/>
      </w:pPr>
      <w:r>
        <w:t xml:space="preserve">Average Project Delay Due to Engineer Shortage</w:t>
      </w:r>
    </w:p>
    <w:p>
      <w:pPr>
        <w:pStyle w:val="BodyText"/>
      </w:pPr>
      <w:r>
        <w:t xml:space="preserve">4.7 weeks</w:t>
      </w:r>
    </w:p>
    <w:p>
      <w:pPr>
        <w:pStyle w:val="BodyText"/>
      </w:pPr>
      <w:r>
        <w:t xml:space="preserve">1.2 weeks</w:t>
      </w:r>
    </w:p>
    <w:p>
      <w:pPr>
        <w:pStyle w:val="BodyText"/>
      </w:pPr>
      <w:r>
        <w:t xml:space="preserve">$280k avg. project margin loss per delay</w:t>
      </w:r>
    </w:p>
    <w:bookmarkEnd w:id="23"/>
    <w:bookmarkStart w:id="24" w:name="Xde8b05a660544b5af362e80569fb943c3a149d0"/>
    <w:p>
      <w:pPr>
        <w:pStyle w:val="Heading2"/>
      </w:pPr>
      <w:r>
        <w:t xml:space="preserve">V. Strategic Action Plan: Integrating Sales &amp; Chemical Engineering Recruitment</w:t>
      </w:r>
    </w:p>
    <w:p>
      <w:pPr>
        <w:pStyle w:val="FirstParagraph"/>
      </w:pPr>
      <w:r>
        <w:t xml:space="preserve">To close this critical gap and leverage Istanbul's potential, we propose a three-pronged strategy centered on the Chemical Engineer role:</w:t>
      </w:r>
    </w:p>
    <w:p>
      <w:pPr>
        <w:numPr>
          <w:ilvl w:val="0"/>
          <w:numId w:val="1002"/>
        </w:numPr>
        <w:pStyle w:val="Compact"/>
      </w:pPr>
      <w:r>
        <w:rPr>
          <w:bCs/>
          <w:b/>
        </w:rPr>
        <w:t xml:space="preserve">Hyper-Localized Recruitment Partnership:</w:t>
      </w:r>
      <w:r>
        <w:t xml:space="preserve"> </w:t>
      </w:r>
      <w:r>
        <w:t xml:space="preserve">Forge exclusive partnerships with Istanbul Technical University (ITU) and Yıldız Technical University's Chemical Engineering Departments. Co-create tailored "Industry Fellowship" programs, offering paid internships linked to immediate sales pipeline needs (e.g., process optimization for a major Tüpraş contract). This builds our talent pipeline *within* the Istanbul ecosystem.</w:t>
      </w:r>
    </w:p>
    <w:p>
      <w:pPr>
        <w:numPr>
          <w:ilvl w:val="0"/>
          <w:numId w:val="1002"/>
        </w:numPr>
        <w:pStyle w:val="Compact"/>
      </w:pPr>
      <w:r>
        <w:rPr>
          <w:bCs/>
          <w:b/>
        </w:rPr>
        <w:t xml:space="preserve">Sales-Driven Engineer Onboarding:</w:t>
      </w:r>
      <w:r>
        <w:t xml:space="preserve"> </w:t>
      </w:r>
      <w:r>
        <w:t xml:space="preserve">Implement a mandatory 30-day "Market Immersion" for new Chemical Engineers, co-led by Sales Directors. They will shadow client meetings, analyze competitor technical bids (e.g., from Kordsa), and understand specific Istanbul market pain points (e.g., port logistics bottlenecks affecting raw material supply). This ensures their technical skills directly serve sales objectives.</w:t>
      </w:r>
    </w:p>
    <w:p>
      <w:pPr>
        <w:numPr>
          <w:ilvl w:val="0"/>
          <w:numId w:val="1002"/>
        </w:numPr>
        <w:pStyle w:val="Compact"/>
      </w:pPr>
      <w:r>
        <w:rPr>
          <w:bCs/>
          <w:b/>
        </w:rPr>
        <w:t xml:space="preserve">Targeted Value Proposition for Clients:</w:t>
      </w:r>
      <w:r>
        <w:t xml:space="preserve"> </w:t>
      </w:r>
      <w:r>
        <w:t xml:space="preserve">Develop a new sales collateral suite explicitly highlighting our Chemical Engineers' role in: 1) Reducing EU compliance risk, 2) Optimizing costs *specific to Istanbul's industrial zones*, and 3) Accelerating time-to-market. Emphasize "Engineer-Backed Guarantee" on process efficiency for key contracts.</w:t>
      </w:r>
    </w:p>
    <w:bookmarkEnd w:id="24"/>
    <w:bookmarkStart w:id="25" w:name="Xa903f0e19cec7bcc750dc7e54fd39df9c107907"/>
    <w:p>
      <w:pPr>
        <w:pStyle w:val="Heading2"/>
      </w:pPr>
      <w:r>
        <w:t xml:space="preserve">VI. Investment Required &amp; Projected Sales ROI</w:t>
      </w:r>
    </w:p>
    <w:p>
      <w:pPr>
        <w:pStyle w:val="FirstParagraph"/>
      </w:pPr>
      <w:r>
        <w:t xml:space="preserve">The required investment is estimated at $145,000 over the next 12 months (recruitment agency partnership, university program funding, sales-engineer training materials). The projected return is substantial:</w:t>
      </w:r>
    </w:p>
    <w:p>
      <w:pPr>
        <w:numPr>
          <w:ilvl w:val="0"/>
          <w:numId w:val="1003"/>
        </w:numPr>
        <w:pStyle w:val="Compact"/>
      </w:pPr>
      <w:r>
        <w:rPr>
          <w:bCs/>
          <w:b/>
        </w:rPr>
        <w:t xml:space="preserve">Short-Term (6-9 mos):</w:t>
      </w:r>
      <w:r>
        <w:t xml:space="preserve"> </w:t>
      </w:r>
      <w:r>
        <w:t xml:space="preserve">Reduce time-to-fill to 4.5 months; secure contracts previously lost due to engineer delays (est. $1.2M incremental revenue).</w:t>
      </w:r>
    </w:p>
    <w:p>
      <w:pPr>
        <w:numPr>
          <w:ilvl w:val="0"/>
          <w:numId w:val="1003"/>
        </w:numPr>
        <w:pStyle w:val="Compact"/>
      </w:pPr>
      <w:r>
        <w:rPr>
          <w:bCs/>
          <w:b/>
        </w:rPr>
        <w:t xml:space="preserve">Mid-Term (12-18 mos):</w:t>
      </w:r>
      <w:r>
        <w:t xml:space="preserve"> </w:t>
      </w:r>
      <w:r>
        <w:t xml:space="preserve">Achieve 40% reduction in project delivery delays; capture 3 new major accounts in the Istanbul industrial zone cluster, generating $4.7M in new recurring sales.</w:t>
      </w:r>
    </w:p>
    <w:p>
      <w:pPr>
        <w:numPr>
          <w:ilvl w:val="0"/>
          <w:numId w:val="1003"/>
        </w:numPr>
        <w:pStyle w:val="Compact"/>
      </w:pPr>
      <w:r>
        <w:rPr>
          <w:bCs/>
          <w:b/>
        </w:rPr>
        <w:t xml:space="preserve">Long-Term:</w:t>
      </w:r>
      <w:r>
        <w:t xml:space="preserve"> </w:t>
      </w:r>
      <w:r>
        <w:t xml:space="preserve">Establish our brand as the *engineered solution provider* of choice for complex chemical manufacturing across Turkey, directly leveraging Istanbul's strategic position for national market leadership.</w:t>
      </w:r>
    </w:p>
    <w:bookmarkEnd w:id="25"/>
    <w:bookmarkStart w:id="26" w:name="Xe77554b72332c60074539359804fe72e75d0352"/>
    <w:p>
      <w:pPr>
        <w:pStyle w:val="Heading2"/>
      </w:pPr>
      <w:r>
        <w:t xml:space="preserve">VII. Conclusion: The Non-Negotiable Priority</w:t>
      </w:r>
    </w:p>
    <w:p>
      <w:pPr>
        <w:pStyle w:val="FirstParagraph"/>
      </w:pPr>
      <w:r>
        <w:t xml:space="preserve">The success of our entire sales strategy in Turkey, particularly within the high-potential Istanbul marketplace, is intrinsically linked to the effective recruitment and deployment of skilled Chemical Engineers. This is not merely a talent gap; it is a revenue leak. The Istanbul chemical industry's explosive growth trajectory demands we act decisively to integrate our Chemical Engineer resources with our sales motion – ensuring every technical capability directly fuels client acquisition, retention, and profitability within Turkey's most dynamic economic engine.</w:t>
      </w:r>
    </w:p>
    <w:p>
      <w:pPr>
        <w:pStyle w:val="BodyText"/>
      </w:pPr>
      <w:r>
        <w:t xml:space="preserve">Failure to prioritize this strategic alignment will result in continued market share erosion against competitors who have already embedded their engineering talent within sales cycles. The time for action is now. We recommend immediate approval of the proposed investment plan to position our team as the indispensable technical partner for Istanbul's chemical manufacturers and exporters.</w:t>
      </w:r>
    </w:p>
    <w:p>
      <w:pPr>
        <w:pStyle w:val="BodyText"/>
      </w:pPr>
      <w:r>
        <w:rPr>
          <w:bCs/>
          <w:b/>
        </w:rPr>
        <w:t xml:space="preserve">Prepared By:</w:t>
      </w:r>
      <w:r>
        <w:t xml:space="preserve"> </w:t>
      </w:r>
      <w:r>
        <w:t xml:space="preserve">Global Sales &amp; Talent Strategy Department</w:t>
      </w:r>
      <w:r>
        <w:br/>
      </w:r>
      <w:r>
        <w:rPr>
          <w:bCs/>
          <w:b/>
        </w:rPr>
        <w:t xml:space="preserve">Contact:</w:t>
      </w:r>
      <w:r>
        <w:t xml:space="preserve"> </w:t>
      </w:r>
      <w:r>
        <w:t xml:space="preserve">sales.talent@yourcompany.com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Recruitment &amp; Market Strategy in Istanbul, Turkey</dc:title>
  <dc:creator/>
  <dc:language>en</dc:language>
  <cp:keywords/>
  <dcterms:created xsi:type="dcterms:W3CDTF">2025-12-13T11:57:24Z</dcterms:created>
  <dcterms:modified xsi:type="dcterms:W3CDTF">2025-12-13T11:57:24Z</dcterms:modified>
</cp:coreProperties>
</file>

<file path=docProps/custom.xml><?xml version="1.0" encoding="utf-8"?>
<Properties xmlns="http://schemas.openxmlformats.org/officeDocument/2006/custom-properties" xmlns:vt="http://schemas.openxmlformats.org/officeDocument/2006/docPropsVTypes"/>
</file>