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Chicago</w:t>
      </w:r>
      <w:r>
        <w:t xml:space="preserve"> </w:t>
      </w:r>
      <w:r>
        <w:t xml:space="preserve">Market</w:t>
      </w:r>
    </w:p>
    <w:bookmarkStart w:id="26" w:name="X6309d5670002f9ce433544c626f28a17644388a"/>
    <w:p>
      <w:pPr>
        <w:pStyle w:val="Heading1"/>
      </w:pPr>
      <w:r>
        <w:t xml:space="preserve">Sales Performance Report: Chemical Engineering Talent Acquisition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Regional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acquisition and deployment of Chemical Engineers across key industries in the United States Chicago market. The report confirms a robust demand for specialized chemical engineering talent, with Chicago emerging as a critical hub for innovation in manufacturing, pharmaceuticals, and sustainable energy sectors. Total sales revenue generated through successful placements of Chemical Engineers reached $2.87M during Q3 2023, representing a 14% year-over-year increase. This growth is directly tied to Chicago's position as the third-largest industrial center in the United States and its evolving economic ecosystem centered around advanced chemical manufacturing and environmental technologies.</w:t>
      </w:r>
    </w:p>
    <w:bookmarkEnd w:id="20"/>
    <w:bookmarkStart w:id="21" w:name="Xefb613afb5ac10b96724746cf26604127448c4a"/>
    <w:p>
      <w:pPr>
        <w:pStyle w:val="Heading2"/>
      </w:pPr>
      <w:r>
        <w:t xml:space="preserve">II. Chicago Market Analysis: Chemical Engineer Demand Drivers</w:t>
      </w:r>
    </w:p>
    <w:p>
      <w:pPr>
        <w:pStyle w:val="FirstParagraph"/>
      </w:pPr>
      <w:r>
        <w:t xml:space="preserve">The United States Chicago market has demonstrated exceptional demand for Chemical Engineers due to three primary factors:</w:t>
      </w:r>
    </w:p>
    <w:p>
      <w:pPr>
        <w:numPr>
          <w:ilvl w:val="0"/>
          <w:numId w:val="1001"/>
        </w:numPr>
        <w:pStyle w:val="Compact"/>
      </w:pPr>
      <w:r>
        <w:rPr>
          <w:bCs/>
          <w:b/>
        </w:rPr>
        <w:t xml:space="preserve">Industrial Concentration:</w:t>
      </w:r>
      <w:r>
        <w:t xml:space="preserve"> </w:t>
      </w:r>
      <w:r>
        <w:t xml:space="preserve">Chicago hosts 12 of the top 50 chemical manufacturing facilities in the United States, including major operations for Dow Chemical (Chicago HQ), Solvay, and Wacker Chemie. These facilities require Chemical Engineers for process optimization, safety compliance, and R&amp;D initiatives.</w:t>
      </w:r>
    </w:p>
    <w:p>
      <w:pPr>
        <w:numPr>
          <w:ilvl w:val="0"/>
          <w:numId w:val="1001"/>
        </w:numPr>
        <w:pStyle w:val="Compact"/>
      </w:pPr>
      <w:r>
        <w:rPr>
          <w:bCs/>
          <w:b/>
        </w:rPr>
        <w:t xml:space="preserve">Sustainability Initiatives:</w:t>
      </w:r>
      <w:r>
        <w:t xml:space="preserve"> </w:t>
      </w:r>
      <w:r>
        <w:t xml:space="preserve">The City of Chicago's "Climate Action Plan 2030" has spurred 47% YoY growth in green chemistry projects. Companies like Gilead Sciences (Chicago R&amp;D Center) and DuPont (Great Lakes Regional Office) actively seek Chemical Engineers to develop bio-based materials and waste-reduction systems.</w:t>
      </w:r>
    </w:p>
    <w:p>
      <w:pPr>
        <w:numPr>
          <w:ilvl w:val="0"/>
          <w:numId w:val="1001"/>
        </w:numPr>
        <w:pStyle w:val="Compact"/>
      </w:pPr>
      <w:r>
        <w:rPr>
          <w:bCs/>
          <w:b/>
        </w:rPr>
        <w:t xml:space="preserve">Educational Pipeline:</w:t>
      </w:r>
      <w:r>
        <w:t xml:space="preserve"> </w:t>
      </w:r>
      <w:r>
        <w:t xml:space="preserve">Chicago-area universities (University of Illinois at Urbana-Champaign, Northwestern, University of Chicago) produce 2,300+ chemical engineering graduates annually. However, only 41% remain in the Chicago metro area due to competitive salaries elsewhere.</w:t>
      </w:r>
    </w:p>
    <w:bookmarkEnd w:id="21"/>
    <w:bookmarkStart w:id="22" w:name="iii.-sales-performance-metrics-q3-2023"/>
    <w:p>
      <w:pPr>
        <w:pStyle w:val="Heading2"/>
      </w:pPr>
      <w:r>
        <w:t xml:space="preserve">III. Sales Performance Metrics: Q3 2023</w:t>
      </w:r>
    </w:p>
    <w:p>
      <w:pPr>
        <w:pStyle w:val="FirstParagraph"/>
      </w:pPr>
      <w:r>
        <w:t xml:space="preserve">The following table details key sales outcomes for Chemical Engineer placements across Chicago-based clients: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Number of Placements</w:t>
            </w:r>
          </w:p>
        </w:tc>
        <w:tc>
          <w:tcPr/>
          <w:p>
            <w:pPr>
              <w:pStyle w:val="Compact"/>
              <w:jc w:val="left"/>
            </w:pPr>
            <w:r>
              <w:t xml:space="preserve">Average Salary Range (USD)</w:t>
            </w:r>
          </w:p>
        </w:tc>
        <w:tc>
          <w:tcPr/>
          <w:p>
            <w:pPr>
              <w:pStyle w:val="Compact"/>
              <w:jc w:val="left"/>
            </w:pPr>
            <w:r>
              <w:t xml:space="preserve">Total Revenue Generated</w:t>
            </w:r>
          </w:p>
        </w:tc>
      </w:tr>
      <w:tr>
        <w:tc>
          <w:tcPr/>
          <w:p>
            <w:pPr>
              <w:pStyle w:val="Compact"/>
              <w:jc w:val="left"/>
            </w:pPr>
            <w:r>
              <w:t xml:space="preserve">Pharmaceuticals &amp; Biotech</w:t>
            </w:r>
          </w:p>
        </w:tc>
        <w:tc>
          <w:tcPr/>
          <w:p>
            <w:pPr>
              <w:pStyle w:val="Compact"/>
              <w:jc w:val="left"/>
            </w:pPr>
            <w:r>
              <w:t xml:space="preserve">42</w:t>
            </w:r>
          </w:p>
        </w:tc>
        <w:tc>
          <w:tcPr/>
          <w:p>
            <w:pPr>
              <w:pStyle w:val="Compact"/>
              <w:jc w:val="left"/>
            </w:pPr>
            <w:r>
              <w:t xml:space="preserve">$125,000 - $165,000</w:t>
            </w:r>
          </w:p>
        </w:tc>
        <w:tc>
          <w:tcPr/>
          <w:p>
            <w:pPr>
              <w:pStyle w:val="Compact"/>
              <w:jc w:val="left"/>
            </w:pPr>
            <w:r>
              <w:t xml:space="preserve">$5.48M</w:t>
            </w:r>
          </w:p>
        </w:tc>
      </w:tr>
      <w:tr>
        <w:tc>
          <w:tcPr/>
          <w:p>
            <w:pPr>
              <w:pStyle w:val="Compact"/>
              <w:jc w:val="left"/>
            </w:pPr>
            <w:r>
              <w:t xml:space="preserve">Petrochemicals &amp; Refining</w:t>
            </w:r>
          </w:p>
        </w:tc>
        <w:tc>
          <w:tcPr/>
          <w:p>
            <w:pPr>
              <w:pStyle w:val="Compact"/>
              <w:jc w:val="left"/>
            </w:pPr>
            <w:r>
              <w:t xml:space="preserve">37</w:t>
            </w:r>
          </w:p>
        </w:tc>
        <w:tc>
          <w:tcPr>
            <w:gridSpan w:val="2"/>
          </w:tcPr>
          <w:p>
            <w:pPr>
              <w:pStyle w:val="Compact"/>
              <w:jc w:val="left"/>
            </w:pPr>
            <w:r>
              <w:t xml:space="preserve">$3.91M (including 3 strategic contracts)</w:t>
            </w:r>
          </w:p>
        </w:tc>
      </w:tr>
      <w:tr>
        <w:tc>
          <w:tcPr/>
          <w:p>
            <w:pPr>
              <w:pStyle w:val="Compact"/>
              <w:jc w:val="left"/>
            </w:pPr>
            <w:r>
              <w:t xml:space="preserve">Sustainable Materials &amp; Recycling</w:t>
            </w:r>
          </w:p>
        </w:tc>
        <w:tc>
          <w:tcPr/>
          <w:p>
            <w:pPr>
              <w:pStyle w:val="Compact"/>
              <w:jc w:val="left"/>
            </w:pPr>
            <w:r>
              <w:t xml:space="preserve">28</w:t>
            </w:r>
          </w:p>
        </w:tc>
        <w:tc>
          <w:tcPr/>
          <w:p>
            <w:pPr>
              <w:pStyle w:val="Compact"/>
              <w:jc w:val="left"/>
            </w:pPr>
            <w:r>
              <w:t xml:space="preserve">$110,000 - $145,000</w:t>
            </w:r>
          </w:p>
        </w:tc>
        <w:tc>
          <w:tcPr/>
          <w:p>
            <w:pPr>
              <w:pStyle w:val="Compact"/>
              <w:jc w:val="left"/>
            </w:pPr>
            <w:r>
              <w:t xml:space="preserve">$3.26M</w:t>
            </w:r>
          </w:p>
        </w:tc>
      </w:tr>
      <w:tr>
        <w:tc>
          <w:tcPr/>
          <w:p>
            <w:pPr>
              <w:pStyle w:val="Compact"/>
              <w:jc w:val="left"/>
            </w:pPr>
            <w:r>
              <w:t xml:space="preserve">Food Processing &amp; Packaging</w:t>
            </w:r>
          </w:p>
        </w:tc>
        <w:tc>
          <w:tcPr>
            <w:gridSpan w:val="2"/>
          </w:tcPr>
          <w:p>
            <w:pPr>
              <w:pStyle w:val="Compact"/>
              <w:jc w:val="left"/>
            </w:pPr>
            <w:r>
              <w:t xml:space="preserve">Total Placements: 157 (28% increase YoY)</w:t>
            </w:r>
          </w:p>
        </w:tc>
        <w:tc>
          <w:tcPr/>
          <w:p>
            <w:pPr>
              <w:pStyle w:val="Compact"/>
              <w:jc w:val="left"/>
            </w:pPr>
            <w:r>
              <w:t xml:space="preserve">$4.83M</w:t>
            </w:r>
          </w:p>
        </w:tc>
      </w:tr>
    </w:tbl>
    <w:p>
      <w:pPr>
        <w:pStyle w:val="BodyText"/>
      </w:pPr>
      <w:r>
        <w:t xml:space="preserve">Notable Q3 achievement: Closed a $1.2M multi-year contract with Abbott Laboratories (Chicago HQ) for 15 specialized Chemical Engineers focused on biodegradable medical device manufacturing—a first in the region for this specific niche.</w:t>
      </w:r>
    </w:p>
    <w:bookmarkEnd w:id="22"/>
    <w:bookmarkStart w:id="23" w:name="Xf935cced41bbf8d75e31e7e2dc695cd78226d45"/>
    <w:p>
      <w:pPr>
        <w:pStyle w:val="Heading2"/>
      </w:pPr>
      <w:r>
        <w:t xml:space="preserve">IV. Chicago-Specific Challenges &amp; Solutions</w:t>
      </w:r>
    </w:p>
    <w:p>
      <w:pPr>
        <w:pStyle w:val="FirstParagraph"/>
      </w:pPr>
      <w:r>
        <w:t xml:space="preserve">While demand is high, Chicago market sales encountered unique regional challenges:</w:t>
      </w:r>
    </w:p>
    <w:p>
      <w:pPr>
        <w:numPr>
          <w:ilvl w:val="0"/>
          <w:numId w:val="1002"/>
        </w:numPr>
        <w:pStyle w:val="Compact"/>
      </w:pPr>
      <w:r>
        <w:rPr>
          <w:bCs/>
          <w:b/>
        </w:rPr>
        <w:t xml:space="preserve">Talent Retention Pressure:</w:t>
      </w:r>
      <w:r>
        <w:t xml:space="preserve"> </w:t>
      </w:r>
      <w:r>
        <w:t xml:space="preserve">Competing with Silicon Valley tech firms for engineering talent created a 19% higher-than-average salary expectation. Solution: Implemented "Chicago Advantage" compensation packages including $15K relocation bonuses and proximity to Lakefront amenities.</w:t>
      </w:r>
    </w:p>
    <w:p>
      <w:pPr>
        <w:numPr>
          <w:ilvl w:val="0"/>
          <w:numId w:val="1002"/>
        </w:numPr>
        <w:pStyle w:val="Compact"/>
      </w:pPr>
      <w:r>
        <w:rPr>
          <w:bCs/>
          <w:b/>
        </w:rPr>
        <w:t xml:space="preserve">Regulatory Complexity:</w:t>
      </w:r>
      <w:r>
        <w:t xml:space="preserve"> </w:t>
      </w:r>
      <w:r>
        <w:t xml:space="preserve">Illinois EPA compliance requirements for chemical facilities require specialized knowledge. Solution: Partnered with the Chicago Chemical Safety Consortium to provide certified training, increasing client satisfaction by 32%.</w:t>
      </w:r>
    </w:p>
    <w:p>
      <w:pPr>
        <w:numPr>
          <w:ilvl w:val="0"/>
          <w:numId w:val="1002"/>
        </w:numPr>
        <w:pStyle w:val="Compact"/>
      </w:pPr>
      <w:r>
        <w:rPr>
          <w:bCs/>
          <w:b/>
        </w:rPr>
        <w:t xml:space="preserve">Supply Chain Disruptions:</w:t>
      </w:r>
      <w:r>
        <w:t xml:space="preserve"> </w:t>
      </w:r>
      <w:r>
        <w:t xml:space="preserve">Global semiconductor shortages impacted manufacturing timelines (affecting 68% of Chicago chemical clients). Solution: Deployed our Chemical Engineer "Resilience Task Force" for rapid process re-engineering, reducing downtime by 41% for key accounts.</w:t>
      </w:r>
    </w:p>
    <w:bookmarkEnd w:id="23"/>
    <w:bookmarkStart w:id="24" w:name="Xbdc5854479597ca7a6bfd657f7eb3605aee0eca"/>
    <w:p>
      <w:pPr>
        <w:pStyle w:val="Heading2"/>
      </w:pPr>
      <w:r>
        <w:t xml:space="preserve">V. Strategic Recommendations for United States Chicago Market</w:t>
      </w:r>
    </w:p>
    <w:p>
      <w:pPr>
        <w:pStyle w:val="FirstParagraph"/>
      </w:pPr>
      <w:r>
        <w:t xml:space="preserve">Based on Q3 performance, we recommend the following actions to capitalize on Chicago's unique market dynamics:</w:t>
      </w:r>
    </w:p>
    <w:p>
      <w:pPr>
        <w:numPr>
          <w:ilvl w:val="0"/>
          <w:numId w:val="1003"/>
        </w:numPr>
        <w:pStyle w:val="Compact"/>
      </w:pPr>
      <w:r>
        <w:rPr>
          <w:bCs/>
          <w:b/>
        </w:rPr>
        <w:t xml:space="preserve">Establish a Dedicated Chicago Talent Hub:</w:t>
      </w:r>
      <w:r>
        <w:t xml:space="preserve"> </w:t>
      </w:r>
      <w:r>
        <w:t xml:space="preserve">Create a physical recruitment center in the West Loop (near major engineering firms) to streamline candidate assessments. Projected ROI: 22% faster placement cycle by Q1 2024.</w:t>
      </w:r>
    </w:p>
    <w:p>
      <w:pPr>
        <w:numPr>
          <w:ilvl w:val="0"/>
          <w:numId w:val="1003"/>
        </w:numPr>
        <w:pStyle w:val="Compact"/>
      </w:pPr>
      <w:r>
        <w:rPr>
          <w:bCs/>
          <w:b/>
        </w:rPr>
        <w:t xml:space="preserve">Forge University Partnerships:</w:t>
      </w:r>
      <w:r>
        <w:t xml:space="preserve"> </w:t>
      </w:r>
      <w:r>
        <w:t xml:space="preserve">Deepen collaboration with Illinois Institute of Technology's Chemical Engineering Department to develop "Chicago Industry Certifications" – a credentialing program aligned with regional EPA and OSHA standards. Expected outcome: 35% increase in local graduate retention.</w:t>
      </w:r>
    </w:p>
    <w:p>
      <w:pPr>
        <w:numPr>
          <w:ilvl w:val="0"/>
          <w:numId w:val="1003"/>
        </w:numPr>
        <w:pStyle w:val="Compact"/>
      </w:pPr>
      <w:r>
        <w:rPr>
          <w:bCs/>
          <w:b/>
        </w:rPr>
        <w:t xml:space="preserve">Prioritize Sustainability Verticals:</w:t>
      </w:r>
      <w:r>
        <w:t xml:space="preserve"> </w:t>
      </w:r>
      <w:r>
        <w:t xml:space="preserve">Redirect 60% of new sales resources toward green chemistry, carbon capture, and circular economy projects. Chicago's $42M municipal investment in clean tech (2023) validates this strategic pivot.</w:t>
      </w:r>
    </w:p>
    <w:bookmarkEnd w:id="24"/>
    <w:bookmarkStart w:id="25" w:name="vi.-conclusion"/>
    <w:p>
      <w:pPr>
        <w:pStyle w:val="Heading2"/>
      </w:pPr>
      <w:r>
        <w:t xml:space="preserve">VI. Conclusion</w:t>
      </w:r>
    </w:p>
    <w:p>
      <w:pPr>
        <w:pStyle w:val="FirstParagraph"/>
      </w:pPr>
      <w:r>
        <w:t xml:space="preserve">The United States Chicago market continues to demonstrate exceptional growth potential for Chemical Engineer talent acquisition, directly contributing to our national sales performance. Q3 2023's $14.48M total revenue from Chicago operations underscores the strategic importance of this region as a catalyst for engineering-driven business success in the Midwest. With Chicago's industrial base projected to grow at 5.7% annually through 2027 (per U.S. Bureau of Economic Analysis), our focus on Chemical Engineers—particularly those skilled in sustainable processes and regulatory compliance—positions us for sustained market leadership.</w:t>
      </w:r>
    </w:p>
    <w:p>
      <w:pPr>
        <w:pStyle w:val="BodyText"/>
      </w:pPr>
      <w:r>
        <w:t xml:space="preserve">As this Sales Report confirms, the synergy between Chicago's industrial infrastructure, environmental initiatives, and engineering talent pipeline creates a uniquely fertile ground for chemical engineering services. We recommend maintaining aggressive investment in Chicago-specific talent development while leveraging our regional network to secure long-term partnerships with key industry stakeholders across the United States.</w:t>
      </w:r>
    </w:p>
    <w:p>
      <w:pPr>
        <w:pStyle w:val="BodyText"/>
      </w:pPr>
      <w:r>
        <w:rPr>
          <w:bCs/>
          <w:b/>
        </w:rPr>
        <w:t xml:space="preserve">Prepared By:</w:t>
      </w:r>
      <w:r>
        <w:t xml:space="preserve"> </w:t>
      </w:r>
      <w:r>
        <w:t xml:space="preserve">Midwest Engineering Solutions Group</w:t>
      </w:r>
      <w:r>
        <w:br/>
      </w:r>
      <w:r>
        <w:rPr>
          <w:bCs/>
          <w:b/>
        </w:rPr>
        <w:t xml:space="preserve">Contact:</w:t>
      </w:r>
      <w:r>
        <w:t xml:space="preserve"> </w:t>
      </w:r>
      <w:r>
        <w:t xml:space="preserve">sales.chicago@mesgroup.us | (312) 555-0198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Chicago Market</dc:title>
  <dc:creator/>
  <dc:language>en</dc:language>
  <cp:keywords/>
  <dcterms:created xsi:type="dcterms:W3CDTF">2026-07-24T16:53:31Z</dcterms:created>
  <dcterms:modified xsi:type="dcterms:W3CDTF">2026-07-24T16:53:31Z</dcterms:modified>
</cp:coreProperties>
</file>

<file path=docProps/custom.xml><?xml version="1.0" encoding="utf-8"?>
<Properties xmlns="http://schemas.openxmlformats.org/officeDocument/2006/custom-properties" xmlns:vt="http://schemas.openxmlformats.org/officeDocument/2006/docPropsVTypes"/>
</file>