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7" w:name="Xc05fab001635d6d2a6c39ddf2696705eb48cedd"/>
    <w:p>
      <w:pPr>
        <w:pStyle w:val="Heading1"/>
      </w:pPr>
      <w:r>
        <w:t xml:space="preserve">2024 Q3 Chemical Engineer Sales Performance Report: Houston Market Analysis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United States Operations</w:t>
      </w:r>
      <w:r>
        <w:br/>
      </w:r>
      <w:r>
        <w:rPr>
          <w:bCs/>
          <w:b/>
        </w:rPr>
        <w:t xml:space="preserve">Prepared By:</w:t>
      </w:r>
      <w:r>
        <w:t xml:space="preserve"> </w:t>
      </w:r>
      <w:r>
        <w:t xml:space="preserve">Global Engineering Recruitment Division</w:t>
      </w:r>
    </w:p>
    <w:bookmarkStart w:id="20" w:name="i.-executive-summary"/>
    <w:p>
      <w:pPr>
        <w:pStyle w:val="Heading2"/>
      </w:pPr>
      <w:r>
        <w:t xml:space="preserve">I. Executive Summary</w:t>
      </w:r>
    </w:p>
    <w:p>
      <w:pPr>
        <w:pStyle w:val="FirstParagraph"/>
      </w:pPr>
      <w:r>
        <w:t xml:space="preserve">This comprehensive Sales Report details the performance of Chemical Engineer placements across the United States Houston market during the third quarter of 2024. As the epicenter of petrochemical manufacturing, refining, and emerging clean energy initiatives in North America, Houston represents a critical growth frontier for engineering talent acquisition. The quarter demonstrated exceptional sales momentum with a 37% year-over-year increase in Chemical Engineer placements, confirming Houston's status as the dominant hub for chemical engineering employment opportunities within the United States. This report validates our strategic investment in expanding technical recruitment resources dedicated to the</w:t>
      </w:r>
      <w:r>
        <w:t xml:space="preserve"> </w:t>
      </w:r>
      <w:r>
        <w:rPr>
          <w:iCs/>
          <w:i/>
        </w:rPr>
        <w:t xml:space="preserve">United States Houston</w:t>
      </w:r>
      <w:r>
        <w:t xml:space="preserve"> </w:t>
      </w:r>
      <w:r>
        <w:t xml:space="preserve">market.</w:t>
      </w:r>
    </w:p>
    <w:bookmarkEnd w:id="20"/>
    <w:bookmarkStart w:id="21" w:name="X38cd11ddcf57beab454abb78d439bb868934759"/>
    <w:p>
      <w:pPr>
        <w:pStyle w:val="Heading2"/>
      </w:pPr>
      <w:r>
        <w:t xml:space="preserve">II. Market Context: Why Houston Dominates Chemical Engineering Demand</w:t>
      </w:r>
    </w:p>
    <w:p>
      <w:pPr>
        <w:pStyle w:val="FirstParagraph"/>
      </w:pPr>
      <w:r>
        <w:t xml:space="preserve">Houston's unparalleled position as the energy capital of the world directly fuels surging demand for specialized Chemical Engineers. The region hosts over 50% of the United States' refining capacity, major petrochemical complexes (including Dow, ExxonMobil, and LyondellBasell facilities), and rapidly expanding clean technology ventures. This unique ecosystem creates constant need for Chemical Engineers who can optimize production processes, ensure regulatory compliance with EPA standards, and develop next-generation sustainable manufacturing solutions. The recent passage of the Inflation Reduction Act has further accelerated capital investment in Houston-based chemical plants seeking to implement carbon capture technologies and alternative feedstocks – directly increasing our</w:t>
      </w:r>
      <w:r>
        <w:t xml:space="preserve"> </w:t>
      </w:r>
      <w:r>
        <w:rPr>
          <w:iCs/>
          <w:i/>
        </w:rPr>
        <w:t xml:space="preserve">Chemical Engineer</w:t>
      </w:r>
      <w:r>
        <w:t xml:space="preserve"> </w:t>
      </w:r>
      <w:r>
        <w:t xml:space="preserve">sales pipeline by 28% this quarter alone.</w:t>
      </w:r>
    </w:p>
    <w:bookmarkEnd w:id="21"/>
    <w:bookmarkStart w:id="22" w:name="X4bbb2872b1742ef2baeaf1a21e2ea620f682bef"/>
    <w:p>
      <w:pPr>
        <w:pStyle w:val="Heading2"/>
      </w:pPr>
      <w:r>
        <w:t xml:space="preserve">III. Sales Performance Metrics: Q3 2024 Highlights</w:t>
      </w:r>
    </w:p>
    <w:p>
      <w:pPr>
        <w:pStyle w:val="FirstParagraph"/>
      </w:pPr>
      <w:r>
        <w:t xml:space="preserve">The following key metrics illustrate the robust performance of our Chemical Engineer recruitment operations in the Houston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Total Chemical Engineer Placements (Houston)</w:t>
            </w:r>
          </w:p>
        </w:tc>
        <w:tc>
          <w:tcPr/>
          <w:p>
            <w:pPr>
              <w:pStyle w:val="Compact"/>
              <w:jc w:val="left"/>
            </w:pPr>
            <w:r>
              <w:t xml:space="preserve">187</w:t>
            </w:r>
          </w:p>
        </w:tc>
        <w:tc>
          <w:tcPr/>
          <w:p>
            <w:pPr>
              <w:pStyle w:val="Compact"/>
              <w:jc w:val="left"/>
            </w:pPr>
            <w:r>
              <w:t xml:space="preserve">136</w:t>
            </w:r>
          </w:p>
        </w:tc>
        <w:tc>
          <w:tcPr/>
          <w:p>
            <w:pPr>
              <w:pStyle w:val="Compact"/>
              <w:jc w:val="left"/>
            </w:pPr>
            <w:r>
              <w:t xml:space="preserve">+37.5%</w:t>
            </w:r>
          </w:p>
        </w:tc>
      </w:tr>
      <w:tr>
        <w:tc>
          <w:tcPr/>
          <w:p>
            <w:pPr>
              <w:pStyle w:val="Compact"/>
              <w:jc w:val="left"/>
            </w:pPr>
            <w:r>
              <w:t xml:space="preserve">Average Time-to-Fill</w:t>
            </w:r>
          </w:p>
        </w:tc>
        <w:tc>
          <w:tcPr/>
          <w:p>
            <w:pPr>
              <w:pStyle w:val="Compact"/>
              <w:jc w:val="left"/>
            </w:pPr>
            <w:r>
              <w:t xml:space="preserve">22 days</w:t>
            </w:r>
          </w:p>
        </w:tc>
        <w:tc>
          <w:tcPr/>
          <w:p>
            <w:pPr>
              <w:pStyle w:val="Compact"/>
              <w:jc w:val="left"/>
            </w:pPr>
            <w:r>
              <w:t xml:space="preserve">29 days</w:t>
            </w:r>
          </w:p>
        </w:tc>
        <w:tc>
          <w:tcPr/>
          <w:p>
            <w:pPr>
              <w:pStyle w:val="Compact"/>
              <w:jc w:val="left"/>
            </w:pPr>
            <w:r>
              <w:t xml:space="preserve">-24.1%</w:t>
            </w:r>
          </w:p>
        </w:tc>
      </w:tr>
      <w:tr>
        <w:tc>
          <w:tcPr/>
          <w:p>
            <w:pPr>
              <w:pStyle w:val="Compact"/>
              <w:jc w:val="left"/>
            </w:pPr>
            <w:r>
              <w:t xml:space="preserve">Client Retention Rate (6+ months)</w:t>
            </w:r>
          </w:p>
        </w:tc>
        <w:tc>
          <w:tcPr/>
          <w:p>
            <w:pPr>
              <w:pStyle w:val="Compact"/>
              <w:jc w:val="left"/>
            </w:pPr>
            <w:r>
              <w:t xml:space="preserve">94%</w:t>
            </w:r>
          </w:p>
        </w:tc>
        <w:tc>
          <w:tcPr/>
          <w:p>
            <w:pPr>
              <w:pStyle w:val="Compact"/>
              <w:jc w:val="left"/>
            </w:pPr>
            <w:r>
              <w:t xml:space="preserve">88%</w:t>
            </w:r>
          </w:p>
        </w:tc>
        <w:tc>
          <w:tcPr/>
          <w:p>
            <w:pPr>
              <w:pStyle w:val="Compact"/>
              <w:jc w:val="left"/>
            </w:pPr>
            <w:r>
              <w:t xml:space="preserve">+6.0 percentage points</w:t>
            </w:r>
          </w:p>
        </w:tc>
      </w:tr>
      <w:tr>
        <w:tc>
          <w:tcPr/>
          <w:p>
            <w:pPr>
              <w:pStyle w:val="Compact"/>
              <w:jc w:val="left"/>
            </w:pPr>
            <w:r>
              <w:t xml:space="preserve">Average Salary Range (Houston)</w:t>
            </w:r>
          </w:p>
        </w:tc>
        <w:tc>
          <w:tcPr/>
          <w:p>
            <w:pPr>
              <w:pStyle w:val="Compact"/>
              <w:jc w:val="left"/>
            </w:pPr>
            <w:r>
              <w:t xml:space="preserve">$125,000 - $185,000</w:t>
            </w:r>
          </w:p>
        </w:tc>
        <w:tc>
          <w:tcPr/>
          <w:p>
            <w:pPr>
              <w:pStyle w:val="Compact"/>
              <w:jc w:val="left"/>
            </w:pPr>
            <w:r>
              <w:t xml:space="preserve">$118,500 - $173,256</w:t>
            </w:r>
          </w:p>
        </w:tc>
        <w:tc>
          <w:tcPr/>
          <w:p>
            <w:pPr>
              <w:pStyle w:val="Compact"/>
              <w:jc w:val="left"/>
            </w:pPr>
            <w:r>
              <w:t xml:space="preserve">+7.9% average</w:t>
            </w:r>
          </w:p>
        </w:tc>
      </w:tr>
    </w:tbl>
    <w:p>
      <w:pPr>
        <w:pStyle w:val="BodyText"/>
      </w:pPr>
      <w:r>
        <w:t xml:space="preserve">These results reflect a 22% increase in new client acquisition specifically targeting Houston-based energy and chemical manufacturers, with particular strength in specialty chemical producers (31% of placements) and renewable fuels developers (19%). Notably, 68% of these roles were filled within our target 30-day timeframe – exceeding industry benchmarks by 42%. This efficiency directly translates to our company's competitive advantage in the</w:t>
      </w:r>
      <w:r>
        <w:t xml:space="preserve"> </w:t>
      </w:r>
      <w:r>
        <w:rPr>
          <w:iCs/>
          <w:i/>
        </w:rPr>
        <w:t xml:space="preserve">United States Houston</w:t>
      </w:r>
      <w:r>
        <w:t xml:space="preserve"> </w:t>
      </w:r>
      <w:r>
        <w:t xml:space="preserve">talent marketplace.</w:t>
      </w:r>
    </w:p>
    <w:bookmarkEnd w:id="22"/>
    <w:bookmarkStart w:id="23" w:name="iv.-sector-specific-demand-analysis"/>
    <w:p>
      <w:pPr>
        <w:pStyle w:val="Heading2"/>
      </w:pPr>
      <w:r>
        <w:t xml:space="preserve">IV. Sector-Specific Demand Analysis</w:t>
      </w:r>
    </w:p>
    <w:p>
      <w:pPr>
        <w:pStyle w:val="FirstParagraph"/>
      </w:pPr>
      <w:r>
        <w:t xml:space="preserve">The Sales Report reveals distinct demand patterns across Houston's chemical engineering sectors:</w:t>
      </w:r>
    </w:p>
    <w:p>
      <w:pPr>
        <w:numPr>
          <w:ilvl w:val="0"/>
          <w:numId w:val="1001"/>
        </w:numPr>
        <w:pStyle w:val="Compact"/>
      </w:pPr>
      <w:r>
        <w:rPr>
          <w:bCs/>
          <w:b/>
        </w:rPr>
        <w:t xml:space="preserve">Petrochemical Manufacturing:</w:t>
      </w:r>
      <w:r>
        <w:t xml:space="preserve"> </w:t>
      </w:r>
      <w:r>
        <w:t xml:space="preserve">Accounted for 47% of all placements, driven by plant expansion projects and aging workforce transitions. Key clients include Chevron and BASF, seeking Process Engineers with upstream/downstream optimization experience.</w:t>
      </w:r>
    </w:p>
    <w:p>
      <w:pPr>
        <w:numPr>
          <w:ilvl w:val="0"/>
          <w:numId w:val="1001"/>
        </w:numPr>
        <w:pStyle w:val="Compact"/>
      </w:pPr>
      <w:r>
        <w:rPr>
          <w:bCs/>
          <w:b/>
        </w:rPr>
        <w:t xml:space="preserve">Clean Technology &amp; Sustainability:</w:t>
      </w:r>
      <w:r>
        <w:t xml:space="preserve"> </w:t>
      </w:r>
      <w:r>
        <w:t xml:space="preserve">This rapidly growing segment represented 32% of placements – a 140% YoY increase. Companies like Linde and Air Products are aggressively hiring Chemical Engineers for carbon capture, hydrogen production, and biorefinery development projects. This trend is reshaping the entire</w:t>
      </w:r>
      <w:r>
        <w:t xml:space="preserve"> </w:t>
      </w:r>
      <w:r>
        <w:rPr>
          <w:iCs/>
          <w:i/>
        </w:rPr>
        <w:t xml:space="preserve">Chemical Engineer</w:t>
      </w:r>
      <w:r>
        <w:t xml:space="preserve"> </w:t>
      </w:r>
      <w:r>
        <w:t xml:space="preserve">role profile in Houston.</w:t>
      </w:r>
    </w:p>
    <w:p>
      <w:pPr>
        <w:numPr>
          <w:ilvl w:val="0"/>
          <w:numId w:val="1001"/>
        </w:numPr>
        <w:pStyle w:val="Compact"/>
      </w:pPr>
      <w:r>
        <w:rPr>
          <w:bCs/>
          <w:b/>
        </w:rPr>
        <w:t xml:space="preserve">Petrochemical Supply Chain:</w:t>
      </w:r>
      <w:r>
        <w:t xml:space="preserve"> </w:t>
      </w:r>
      <w:r>
        <w:t xml:space="preserve">15% of placements focused on logistics optimization and materials science roles supporting Houston's port infrastructure – a critical growth area following recent infrastructure investments.</w:t>
      </w:r>
    </w:p>
    <w:bookmarkEnd w:id="23"/>
    <w:bookmarkStart w:id="24" w:name="Xf2df069904aefe1788f94a579a07874181ac6f2"/>
    <w:p>
      <w:pPr>
        <w:pStyle w:val="Heading2"/>
      </w:pPr>
      <w:r>
        <w:t xml:space="preserve">V. Competitive Landscape &amp; Differentiation Strategy</w:t>
      </w:r>
    </w:p>
    <w:p>
      <w:pPr>
        <w:pStyle w:val="FirstParagraph"/>
      </w:pPr>
      <w:r>
        <w:t xml:space="preserve">The Sales Report confirms Houston's intense competition for top Chemical Engineer talent, with 17 major recruitment firms actively pursuing the same client base. Our differentiation strategy focuses on three pillars that directly address client pain points:</w:t>
      </w:r>
    </w:p>
    <w:p>
      <w:pPr>
        <w:numPr>
          <w:ilvl w:val="0"/>
          <w:numId w:val="1002"/>
        </w:numPr>
        <w:pStyle w:val="Compact"/>
      </w:pPr>
      <w:r>
        <w:rPr>
          <w:bCs/>
          <w:b/>
        </w:rPr>
        <w:t xml:space="preserve">Technical Validation:</w:t>
      </w:r>
      <w:r>
        <w:t xml:space="preserve"> </w:t>
      </w:r>
      <w:r>
        <w:t xml:space="preserve">Our proprietary assessment platform screens candidates' proficiency in HYSYS, Aspen Plus, and regulatory frameworks (OSHA/RCRA) – a capability missing from 89% of competitors. This reduces post-placement training time by 35%.</w:t>
      </w:r>
    </w:p>
    <w:p>
      <w:pPr>
        <w:numPr>
          <w:ilvl w:val="0"/>
          <w:numId w:val="1002"/>
        </w:numPr>
        <w:pStyle w:val="Compact"/>
      </w:pPr>
      <w:r>
        <w:rPr>
          <w:bCs/>
          <w:b/>
        </w:rPr>
        <w:t xml:space="preserve">Houston Ecosystem Knowledge:</w:t>
      </w:r>
      <w:r>
        <w:t xml:space="preserve"> </w:t>
      </w:r>
      <w:r>
        <w:t xml:space="preserve">Our field recruiters maintain active relationships with all major energy companies and the University of Houston's chemical engineering department, providing early access to emerging talent pipelines.</w:t>
      </w:r>
    </w:p>
    <w:p>
      <w:pPr>
        <w:numPr>
          <w:ilvl w:val="0"/>
          <w:numId w:val="1002"/>
        </w:numPr>
        <w:pStyle w:val="Compact"/>
      </w:pPr>
      <w:r>
        <w:rPr>
          <w:bCs/>
          <w:b/>
        </w:rPr>
        <w:t xml:space="preserve">Strategic Talent Mapping:</w:t>
      </w:r>
      <w:r>
        <w:t xml:space="preserve"> </w:t>
      </w:r>
      <w:r>
        <w:t xml:space="preserve">We've developed a predictive model identifying "high-potential" Chemical Engineers likely to transition within 18 months – enabling proactive client relationship management that boosted our referral rate by 52% this quarter.</w:t>
      </w:r>
    </w:p>
    <w:bookmarkEnd w:id="24"/>
    <w:bookmarkStart w:id="25" w:name="vi.-challenges-strategic-recommendations"/>
    <w:p>
      <w:pPr>
        <w:pStyle w:val="Heading2"/>
      </w:pPr>
      <w:r>
        <w:t xml:space="preserve">VI. Challenges &amp; Strategic Recommendations</w:t>
      </w:r>
    </w:p>
    <w:p>
      <w:pPr>
        <w:pStyle w:val="FirstParagraph"/>
      </w:pPr>
      <w:r>
        <w:t xml:space="preserve">While performance is strong, the Sales Report identifies two critical challenges requiring immediate action:</w:t>
      </w:r>
    </w:p>
    <w:p>
      <w:pPr>
        <w:numPr>
          <w:ilvl w:val="0"/>
          <w:numId w:val="1003"/>
        </w:numPr>
        <w:pStyle w:val="Compact"/>
      </w:pPr>
      <w:r>
        <w:rPr>
          <w:bCs/>
          <w:b/>
        </w:rPr>
        <w:t xml:space="preserve">Talent Shortage in Specialty Areas:</w:t>
      </w:r>
      <w:r>
        <w:t xml:space="preserve"> </w:t>
      </w:r>
      <w:r>
        <w:t xml:space="preserve">Demand for Chemical Engineers with AI/ML integration skills (for process optimization) outpaces supply by 3.2:1. We recommend partnering with Rice University's new AI-in-Engineering program.</w:t>
      </w:r>
    </w:p>
    <w:p>
      <w:pPr>
        <w:numPr>
          <w:ilvl w:val="0"/>
          <w:numId w:val="1003"/>
        </w:numPr>
        <w:pStyle w:val="Compact"/>
      </w:pPr>
      <w:r>
        <w:rPr>
          <w:bCs/>
          <w:b/>
        </w:rPr>
        <w:t xml:space="preserve">Geographic Competition:</w:t>
      </w:r>
      <w:r>
        <w:t xml:space="preserve"> </w:t>
      </w:r>
      <w:r>
        <w:t xml:space="preserve">Dallas and Austin are increasingly poaching Houston-based engineers. We propose developing a "Houston Advantage" employer branding campaign highlighting our clients' leadership in sustainability initiatives to retain top talent.</w:t>
      </w:r>
    </w:p>
    <w:p>
      <w:pPr>
        <w:pStyle w:val="FirstParagraph"/>
      </w:pPr>
      <w:r>
        <w:t xml:space="preserve">In response, we recommend allocating 15% of Q4 sales budget to enhance our technical screening capabilities for advanced skill sets and launching a targeted marketing campaign showcasing Houston's chemical engineering innovation ecosystem – directly addressing the needs of Chemical Engineers seeking purpose-driven careers in the</w:t>
      </w:r>
      <w:r>
        <w:t xml:space="preserve"> </w:t>
      </w:r>
      <w:r>
        <w:rPr>
          <w:iCs/>
          <w:i/>
        </w:rPr>
        <w:t xml:space="preserve">United States Houston</w:t>
      </w:r>
      <w:r>
        <w:t xml:space="preserve"> </w:t>
      </w:r>
      <w:r>
        <w:t xml:space="preserve">market.</w:t>
      </w:r>
    </w:p>
    <w:bookmarkEnd w:id="25"/>
    <w:bookmarkStart w:id="26" w:name="X8abc74e34105411676350c3e154460d0f83639f"/>
    <w:p>
      <w:pPr>
        <w:pStyle w:val="Heading2"/>
      </w:pPr>
      <w:r>
        <w:t xml:space="preserve">VII. Conclusion: The Future of Chemical Engineering Sales in Houston</w:t>
      </w:r>
    </w:p>
    <w:p>
      <w:pPr>
        <w:pStyle w:val="FirstParagraph"/>
      </w:pPr>
      <w:r>
        <w:t xml:space="preserve">This Sales Report unequivocally confirms that the Houston chemical engineering market remains one of America's most dynamic talent ecosystems. The 37% placement growth this quarter demonstrates not just current demand, but a structural shift toward technology-driven chemical processes that will define the industry for decades. As energy transition accelerates, the role of Chemical Engineer evolves from traditional process optimization to sustainability innovation – a transformation perfectly aligned with Houston's strategic positioning.</w:t>
      </w:r>
    </w:p>
    <w:p>
      <w:pPr>
        <w:pStyle w:val="BodyText"/>
      </w:pPr>
      <w:r>
        <w:t xml:space="preserve">Our data reveals clear opportunity: The next phase of growth requires doubling down on specialized talent acquisition capabilities while reinforcing our position as the premier partner for companies seeking to build their engineering teams in the heart of America's energy corridor. By maintaining this focus, we project 25-30% continued growth in Chemical Engineer placements for Houston through 2025. This Sales Report serves as both a testament to our current success and a roadmap for capturing even greater share of this vital</w:t>
      </w:r>
      <w:r>
        <w:t xml:space="preserve"> </w:t>
      </w:r>
      <w:r>
        <w:rPr>
          <w:iCs/>
          <w:i/>
        </w:rPr>
        <w:t xml:space="preserve">United States Houston</w:t>
      </w:r>
      <w:r>
        <w:t xml:space="preserve"> </w:t>
      </w:r>
      <w:r>
        <w:t xml:space="preserve">market.</w:t>
      </w:r>
    </w:p>
    <w:p>
      <w:pPr>
        <w:pStyle w:val="BodyText"/>
      </w:pPr>
      <w:r>
        <w:rPr>
          <w:bCs/>
          <w:b/>
        </w:rPr>
        <w:t xml:space="preserve">Appendix Note:</w:t>
      </w:r>
      <w:r>
        <w:t xml:space="preserve"> </w:t>
      </w:r>
      <w:r>
        <w:t xml:space="preserve">Full dataset, client satisfaction scores, and geographic demand heat maps are available in the executive dashboard linked at the bottom of this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Sales Performance Report: United States Houston Market</dc:title>
  <dc:creator/>
  <dc:language>en</dc:language>
  <cp:keywords/>
  <dcterms:created xsi:type="dcterms:W3CDTF">2026-07-24T00:26:23Z</dcterms:created>
  <dcterms:modified xsi:type="dcterms:W3CDTF">2026-07-24T00:26:23Z</dcterms:modified>
</cp:coreProperties>
</file>

<file path=docProps/custom.xml><?xml version="1.0" encoding="utf-8"?>
<Properties xmlns="http://schemas.openxmlformats.org/officeDocument/2006/custom-properties" xmlns:vt="http://schemas.openxmlformats.org/officeDocument/2006/docPropsVTypes"/>
</file>