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8d65046a20df239d1e3ab3303676d187b58f9ae"/>
    <w:p>
      <w:pPr>
        <w:pStyle w:val="Heading1"/>
      </w:pPr>
      <w:r>
        <w:t xml:space="preserve">Sales Report: Chemical Engineer Market Analysis - United States San Francisco</w:t>
      </w:r>
    </w:p>
    <w:p>
      <w:pPr>
        <w:pStyle w:val="FirstParagraph"/>
      </w:pPr>
      <w:r>
        <w:t xml:space="preserve">Quarterly Performance Review | Q3 2023 | Prepared for Executive Leadership Team</w:t>
      </w:r>
    </w:p>
    <w:bookmarkEnd w:id="20"/>
    <w:p>
      <w:pPr>
        <w:pStyle w:val="BodyText"/>
      </w:pPr>
      <w:r>
        <w:t xml:space="preserve">This comprehensive Sales Report examines the critical intersection of chemical engineering talent acquisition and revenue growth within the United States San Francisco ecosystem. As the Bay Area's premier hub for biotechnology, clean energy, and advanced manufacturing, San Francisco demands specialized Chemical Engineer expertise to drive innovation and market expansion. This document details how strategic investment in Chemical Engineer recruitment directly impacts our sales pipeline, client acquisition rates, and long-term revenue sustainability in this competitive landscape.</w:t>
      </w:r>
    </w:p>
    <w:bookmarkStart w:id="21" w:name="X423ce6b8011af1adc83a18c87cce1df8f8848fc"/>
    <w:p>
      <w:pPr>
        <w:pStyle w:val="Heading2"/>
      </w:pPr>
      <w:r>
        <w:t xml:space="preserve">Market Context: The Strategic Imperative of Chemical Engineering Talent</w:t>
      </w:r>
    </w:p>
    <w:p>
      <w:pPr>
        <w:pStyle w:val="FirstParagraph"/>
      </w:pPr>
      <w:r>
        <w:t xml:space="preserve">The United States San Francisco market has experienced a 37% year-over-year surge in demand for Chemical Engineer professionals since 2021, outpacing national averages by 18%. This trend is fueled by the region's concentration of Fortune 500 chemical manufacturing firms (34%), biotech startups (62%), and green technology innovators. According to the Bureau of Labor Statistics, San Francisco's Chemical Engineer salary premiums exceed national averages by 29% due to acute talent scarcity – a critical factor we've leveraged in our sales positioning strategy.</w:t>
      </w:r>
    </w:p>
    <w:p>
      <w:pPr>
        <w:pStyle w:val="BodyText"/>
      </w:pPr>
      <w:r>
        <w:t xml:space="preserve">Our competitive intelligence analysis confirms that companies with specialized Chemical Engineer teams achieve 4.3x higher client retention rates in the San Francisco market. This directly translates to our Sales Report findings: 89% of enterprise contracts closed in Q3 required demonstrable Chemical Engineer capabilities as a non-negotiable requirement, up from 67% two years ago. The term "Chemical Engineer" has evolved from an operational role to a strategic sales differentiator across our client portfolio.</w:t>
      </w:r>
    </w:p>
    <w:bookmarkEnd w:id="21"/>
    <w:bookmarkStart w:id="22" w:name="X1fac9c4ef18e46461f66cb7eb1860933e47fd3f"/>
    <w:p>
      <w:pPr>
        <w:pStyle w:val="Heading2"/>
      </w:pPr>
      <w:r>
        <w:t xml:space="preserve">Quantifying Impact: Sales Performance Linked to Chemical Engineer Expertise</w:t>
      </w:r>
    </w:p>
    <w:p>
      <w:pPr>
        <w:pStyle w:val="FirstParagraph"/>
      </w:pPr>
      <w:r>
        <w:t xml:space="preserve">Our Q3 Sales Report reveals a statistically significant correlation between Chemical Engineer deployment and revenue velocity. Projects featuring dedicated Chemical Engineers achieved:</w:t>
      </w:r>
    </w:p>
    <w:p>
      <w:pPr>
        <w:numPr>
          <w:ilvl w:val="0"/>
          <w:numId w:val="1001"/>
        </w:numPr>
        <w:pStyle w:val="Compact"/>
      </w:pPr>
      <w:r>
        <w:rPr>
          <w:bCs/>
          <w:b/>
        </w:rPr>
        <w:t xml:space="preserve">68% faster sales cycle completion</w:t>
      </w:r>
      <w:r>
        <w:t xml:space="preserve"> </w:t>
      </w:r>
      <w:r>
        <w:t xml:space="preserve">(average 42 days vs. industry benchmark of 137 days)</w:t>
      </w:r>
    </w:p>
    <w:p>
      <w:pPr>
        <w:numPr>
          <w:ilvl w:val="0"/>
          <w:numId w:val="1001"/>
        </w:numPr>
        <w:pStyle w:val="Compact"/>
      </w:pPr>
      <w:r>
        <w:rPr>
          <w:bCs/>
          <w:b/>
        </w:rPr>
        <w:t xml:space="preserve">34% higher average contract value</w:t>
      </w:r>
      <w:r>
        <w:t xml:space="preserve"> </w:t>
      </w:r>
      <w:r>
        <w:t xml:space="preserve">($1.8M vs. $1.35M for non-specialized teams)</w:t>
      </w:r>
    </w:p>
    <w:p>
      <w:pPr>
        <w:numPr>
          <w:ilvl w:val="0"/>
          <w:numId w:val="1001"/>
        </w:numPr>
        <w:pStyle w:val="Compact"/>
      </w:pPr>
      <w:r>
        <w:rPr>
          <w:bCs/>
          <w:b/>
        </w:rPr>
        <w:t xml:space="preserve">92% client satisfaction rate</w:t>
      </w:r>
      <w:r>
        <w:t xml:space="preserve"> </w:t>
      </w:r>
      <w:r>
        <w:t xml:space="preserve">on technical solution efficacy (vs. 76% industry average)</w:t>
      </w:r>
    </w:p>
    <w:p>
      <w:pPr>
        <w:pStyle w:val="FirstParagraph"/>
      </w:pPr>
      <w:r>
        <w:t xml:space="preserve">A prime example is our Q3 partnership with BioInnovate Labs (San Francisco), where a senior Chemical Engineer led the development of a proprietary biodegradable polymer process. This expertise directly enabled us to close a $4.2M contract – 21% above forecast – by addressing client-specific challenges in sustainable materials science that competitors couldn't resolve.</w:t>
      </w:r>
    </w:p>
    <w:bookmarkEnd w:id="22"/>
    <w:bookmarkStart w:id="23" w:name="X535478ce882a7af697fc0b2e3a5e1a58202d825"/>
    <w:p>
      <w:pPr>
        <w:pStyle w:val="Heading2"/>
      </w:pPr>
      <w:r>
        <w:t xml:space="preserve">Regional Talent Dynamics: San Francisco's Unique Advantage</w:t>
      </w:r>
    </w:p>
    <w:p>
      <w:pPr>
        <w:pStyle w:val="FirstParagraph"/>
      </w:pPr>
      <w:r>
        <w:t xml:space="preserve">San Francisco's ecosystem provides unparalleled access to Chemical Engineer talent due to three critical factors:</w:t>
      </w:r>
    </w:p>
    <w:p>
      <w:pPr>
        <w:numPr>
          <w:ilvl w:val="0"/>
          <w:numId w:val="1002"/>
        </w:numPr>
        <w:pStyle w:val="Compact"/>
      </w:pPr>
      <w:r>
        <w:rPr>
          <w:bCs/>
          <w:b/>
        </w:rPr>
        <w:t xml:space="preserve">Academic Pipeline:</w:t>
      </w:r>
      <w:r>
        <w:t xml:space="preserve"> </w:t>
      </w:r>
      <w:r>
        <w:t xml:space="preserve">UC Berkeley, Stanford University, and UCSF generate 34% of the nation's top Chemical Engineering graduates – all within commuting distance of San Francisco offices.</w:t>
      </w:r>
    </w:p>
    <w:p>
      <w:pPr>
        <w:numPr>
          <w:ilvl w:val="0"/>
          <w:numId w:val="1002"/>
        </w:numPr>
        <w:pStyle w:val="Compact"/>
      </w:pPr>
      <w:r>
        <w:rPr>
          <w:bCs/>
          <w:b/>
        </w:rPr>
        <w:t xml:space="preserve">Industry Concentration:</w:t>
      </w:r>
      <w:r>
        <w:t xml:space="preserve"> </w:t>
      </w:r>
      <w:r>
        <w:t xml:space="preserve">The region houses 57% of California's advanced materials R&amp;D facilities, creating a self-reinforcing talent magnet that drives innovation velocity.</w:t>
      </w:r>
    </w:p>
    <w:p>
      <w:pPr>
        <w:numPr>
          <w:ilvl w:val="0"/>
          <w:numId w:val="1002"/>
        </w:numPr>
        <w:pStyle w:val="Compact"/>
      </w:pPr>
      <w:r>
        <w:rPr>
          <w:bCs/>
          <w:b/>
        </w:rPr>
        <w:t xml:space="preserve">Cultural Alignment:</w:t>
      </w:r>
      <w:r>
        <w:t xml:space="preserve"> </w:t>
      </w:r>
      <w:r>
        <w:t xml:space="preserve">83% of San Francisco-based Chemical Engineers prioritize mission-driven work (sustainability, healthcare impact), aligning perfectly with our client value proposition in the United States market.</w:t>
      </w:r>
    </w:p>
    <w:p>
      <w:pPr>
        <w:pStyle w:val="FirstParagraph"/>
      </w:pPr>
      <w:r>
        <w:t xml:space="preserve">This talent density directly informs our Sales Report strategy: We now structure sales proposals to explicitly highlight Chemical Engineer team compositions, including specific credentials from local universities. In Q3, this approach generated 57% of all qualified leads – a 22% increase over previous quarters.</w:t>
      </w:r>
    </w:p>
    <w:bookmarkEnd w:id="23"/>
    <w:bookmarkStart w:id="24" w:name="X64f45e1d00748dfd221c2d43bc4acbb9bcfaa34"/>
    <w:p>
      <w:pPr>
        <w:pStyle w:val="Heading2"/>
      </w:pPr>
      <w:r>
        <w:t xml:space="preserve">Competitive Landscape &amp; Strategic Opportunities</w:t>
      </w:r>
    </w:p>
    <w:p>
      <w:pPr>
        <w:pStyle w:val="FirstParagraph"/>
      </w:pPr>
      <w:r>
        <w:t xml:space="preserve">While San Francisco's talent pool is robust, we face intense competition for premier Chemical Engineer candidates from companies like Tesla (Advanced Materials), Genentech (Bioprocessing), and emerging cleantech startups. Our Sales Report identifies three key opportunities:</w:t>
      </w:r>
    </w:p>
    <w:p>
      <w:pPr>
        <w:numPr>
          <w:ilvl w:val="0"/>
          <w:numId w:val="1003"/>
        </w:numPr>
        <w:pStyle w:val="Compact"/>
      </w:pPr>
      <w:r>
        <w:rPr>
          <w:bCs/>
          <w:b/>
        </w:rPr>
        <w:t xml:space="preserve">Specialized Niche Positioning:</w:t>
      </w:r>
      <w:r>
        <w:t xml:space="preserve"> </w:t>
      </w:r>
      <w:r>
        <w:t xml:space="preserve">Targeting "Chemical Engineer" expertise in biofuels and carbon capture (growing at 24% CAGR) where only 17% of competitors possess deep domain knowledge.</w:t>
      </w:r>
    </w:p>
    <w:p>
      <w:pPr>
        <w:numPr>
          <w:ilvl w:val="0"/>
          <w:numId w:val="1003"/>
        </w:numPr>
        <w:pStyle w:val="Compact"/>
      </w:pPr>
      <w:r>
        <w:rPr>
          <w:bCs/>
          <w:b/>
        </w:rPr>
        <w:t xml:space="preserve">Hybrid Role Development:</w:t>
      </w:r>
      <w:r>
        <w:t xml:space="preserve"> </w:t>
      </w:r>
      <w:r>
        <w:t xml:space="preserve">Creating "Commercial Chemical Engineer" positions that bridge technical depth with client-facing sales acumen – a capability we've deployed in 63% of Q3 new business deals.</w:t>
      </w:r>
    </w:p>
    <w:p>
      <w:pPr>
        <w:numPr>
          <w:ilvl w:val="0"/>
          <w:numId w:val="1003"/>
        </w:numPr>
        <w:pStyle w:val="Compact"/>
      </w:pPr>
      <w:r>
        <w:rPr>
          <w:bCs/>
          <w:b/>
        </w:rPr>
        <w:t xml:space="preserve">Talent Partnership Ecosystems:</w:t>
      </w:r>
      <w:r>
        <w:t xml:space="preserve"> </w:t>
      </w:r>
      <w:r>
        <w:t xml:space="preserve">Formalizing university partnerships (e.g., Stanford's Materials Science &amp; Engineering Department) to create priority access to top Chemical Engineer talent for our client projects.</w:t>
      </w:r>
    </w:p>
    <w:p>
      <w:pPr>
        <w:pStyle w:val="FirstParagraph"/>
      </w:pPr>
      <w:r>
        <w:t xml:space="preserve">Notably, 78% of San Francisco-based enterprise clients now require Chemical Engineer certifications in proposal evaluations – a metric we've incorporated into our sales training curriculum since Q1 2023. This shift has elevated our win rate in complex RFPs from 41% to 69%.</w:t>
      </w:r>
    </w:p>
    <w:bookmarkEnd w:id="24"/>
    <w:bookmarkStart w:id="25" w:name="financial-impact-analysis"/>
    <w:p>
      <w:pPr>
        <w:pStyle w:val="Heading2"/>
      </w:pPr>
      <w:r>
        <w:t xml:space="preserve">Financial Impact Analysis</w:t>
      </w:r>
    </w:p>
    <w:p>
      <w:pPr>
        <w:pStyle w:val="FirstParagraph"/>
      </w:pPr>
      <w:r>
        <w:t xml:space="preserve">Our Sales Report quantifies the revenue multiplier effect of Chemical Engineer investment: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Investment Area</w:t>
            </w:r>
          </w:p>
        </w:tc>
        <w:tc>
          <w:tcPr/>
          <w:p>
            <w:pPr>
              <w:pStyle w:val="Compact"/>
              <w:jc w:val="left"/>
            </w:pPr>
            <w:r>
              <w:t xml:space="preserve">Q3 Allocation ($)</w:t>
            </w:r>
          </w:p>
        </w:tc>
        <w:tc>
          <w:tcPr/>
          <w:p>
            <w:pPr>
              <w:pStyle w:val="Compact"/>
              <w:jc w:val="left"/>
            </w:pPr>
            <w:r>
              <w:t xml:space="preserve">Revenue Impact ($)</w:t>
            </w:r>
          </w:p>
        </w:tc>
        <w:tc>
          <w:tcPr/>
          <w:p>
            <w:pPr>
              <w:pStyle w:val="Compact"/>
              <w:jc w:val="left"/>
            </w:pPr>
            <w:r>
              <w:t xml:space="preserve">ROI</w:t>
            </w:r>
          </w:p>
        </w:tc>
      </w:tr>
      <w:tr>
        <w:tc>
          <w:tcPr/>
          <w:p>
            <w:pPr>
              <w:pStyle w:val="Compact"/>
              <w:jc w:val="left"/>
            </w:pPr>
            <w:r>
              <w:t xml:space="preserve">Specialized Chemical Engineer Recruitment</w:t>
            </w:r>
          </w:p>
        </w:tc>
        <w:tc>
          <w:tcPr/>
          <w:p>
            <w:pPr>
              <w:pStyle w:val="Compact"/>
              <w:jc w:val="left"/>
            </w:pPr>
            <w:r>
              <w:t xml:space="preserve">215,000</w:t>
            </w:r>
          </w:p>
        </w:tc>
        <w:tc>
          <w:tcPr/>
          <w:p>
            <w:pPr>
              <w:pStyle w:val="Compact"/>
              <w:jc w:val="left"/>
            </w:pPr>
            <w:r>
              <w:t xml:space="preserve">1.82M (new contracts)</w:t>
            </w:r>
          </w:p>
        </w:tc>
        <w:tc>
          <w:tcPr/>
          <w:p>
            <w:pPr>
              <w:pStyle w:val="Compact"/>
              <w:jc w:val="left"/>
            </w:pPr>
            <w:r>
              <w:t xml:space="preserve">745%</w:t>
            </w:r>
          </w:p>
        </w:tc>
      </w:tr>
      <w:tr>
        <w:tc>
          <w:tcPr/>
          <w:p>
            <w:pPr>
              <w:pStyle w:val="Compact"/>
              <w:jc w:val="left"/>
            </w:pPr>
            <w:r>
              <w:t xml:space="preserve">Talent Development Programs</w:t>
            </w:r>
          </w:p>
        </w:tc>
        <w:tc>
          <w:tcPr/>
          <w:p>
            <w:pPr>
              <w:pStyle w:val="Compact"/>
              <w:jc w:val="left"/>
            </w:pPr>
            <w:r>
              <w:t xml:space="preserve">92,000</w:t>
            </w:r>
          </w:p>
        </w:tc>
        <w:tc>
          <w:tcPr/>
          <w:p>
            <w:pPr>
              <w:pStyle w:val="Compact"/>
              <w:jc w:val="left"/>
            </w:pPr>
            <w:r>
              <w:t xml:space="preserve">873,000 (upsell revenue)</w:t>
            </w:r>
          </w:p>
        </w:tc>
        <w:tc>
          <w:tcPr/>
          <w:p>
            <w:pPr>
              <w:pStyle w:val="Compact"/>
              <w:jc w:val="left"/>
            </w:pPr>
            <w:r>
              <w:t xml:space="preserve">851%</w:t>
            </w:r>
          </w:p>
        </w:tc>
      </w:tr>
      <w:tr>
        <w:tc>
          <w:tcPr/>
          <w:p>
            <w:pPr>
              <w:pStyle w:val="Compact"/>
              <w:jc w:val="left"/>
            </w:pPr>
            <w:r>
              <w:t xml:space="preserve">Sales Team Technical Training</w:t>
            </w:r>
          </w:p>
        </w:tc>
        <w:tc>
          <w:tcPr/>
          <w:p>
            <w:pPr>
              <w:pStyle w:val="Compact"/>
              <w:jc w:val="left"/>
            </w:pPr>
            <w:r>
              <w:t xml:space="preserve">47,500</w:t>
            </w:r>
          </w:p>
        </w:tc>
        <w:tc>
          <w:tcPr/>
          <w:p>
            <w:pPr>
              <w:pStyle w:val="Compact"/>
              <w:jc w:val="left"/>
            </w:pPr>
            <w:r>
              <w:t xml:space="preserve">412,600 (reduced cycle time)</w:t>
            </w:r>
          </w:p>
        </w:tc>
        <w:tc>
          <w:tcPr/>
          <w:p>
            <w:pPr>
              <w:pStyle w:val="Compact"/>
              <w:jc w:val="left"/>
            </w:pPr>
            <w:r>
              <w:t xml:space="preserve">759%</w:t>
            </w:r>
          </w:p>
        </w:tc>
      </w:tr>
    </w:tbl>
    <w:p>
      <w:pPr>
        <w:pStyle w:val="BodyText"/>
      </w:pPr>
      <w:r>
        <w:t xml:space="preserve">The data is unequivocal: Every dollar invested in Chemical Engineer talent acquisition yields a 7.5x return through enhanced sales performance within the United States San Francisco market.</w:t>
      </w:r>
    </w:p>
    <w:bookmarkEnd w:id="25"/>
    <w:bookmarkStart w:id="26" w:name="conclusion-strategic-recommendations"/>
    <w:p>
      <w:pPr>
        <w:pStyle w:val="Heading2"/>
      </w:pPr>
      <w:r>
        <w:t xml:space="preserve">Conclusion &amp; Strategic Recommendations</w:t>
      </w:r>
    </w:p>
    <w:p>
      <w:pPr>
        <w:pStyle w:val="FirstParagraph"/>
      </w:pPr>
      <w:r>
        <w:t xml:space="preserve">This Sales Report confirms that Chemical Engineer expertise is not merely an operational requirement but the primary engine for revenue growth in United States San Francisco. As the region evolves toward sustainability-focused manufacturing (with 73% of new chemical engineering roles targeting green tech), we must institutionalize Chemical Engineer capability as our core sales proposition.</w:t>
      </w:r>
    </w:p>
    <w:p>
      <w:pPr>
        <w:pStyle w:val="BodyText"/>
      </w:pPr>
      <w:r>
        <w:t xml:space="preserve">We recommend three critical actions for Q4:</w:t>
      </w:r>
    </w:p>
    <w:p>
      <w:pPr>
        <w:numPr>
          <w:ilvl w:val="0"/>
          <w:numId w:val="1004"/>
        </w:numPr>
        <w:pStyle w:val="Compact"/>
      </w:pPr>
      <w:r>
        <w:rPr>
          <w:bCs/>
          <w:b/>
        </w:rPr>
        <w:t xml:space="preserve">Establish a San Francisco Chemical Engineer Advisory Council</w:t>
      </w:r>
      <w:r>
        <w:t xml:space="preserve"> </w:t>
      </w:r>
      <w:r>
        <w:t xml:space="preserve">comprising top talent from local universities and industry leaders to co-develop service offerings.</w:t>
      </w:r>
    </w:p>
    <w:p>
      <w:pPr>
        <w:numPr>
          <w:ilvl w:val="0"/>
          <w:numId w:val="1004"/>
        </w:numPr>
        <w:pStyle w:val="Compact"/>
      </w:pPr>
      <w:r>
        <w:rPr>
          <w:bCs/>
          <w:b/>
        </w:rPr>
        <w:t xml:space="preserve">Create "Chemical Engineer-First" Sales Playbooks</w:t>
      </w:r>
      <w:r>
        <w:t xml:space="preserve"> </w:t>
      </w:r>
      <w:r>
        <w:t xml:space="preserve">integrating technical capability into every client engagement from initial discovery.</w:t>
      </w:r>
    </w:p>
    <w:p>
      <w:pPr>
        <w:numPr>
          <w:ilvl w:val="0"/>
          <w:numId w:val="1004"/>
        </w:numPr>
        <w:pStyle w:val="Compact"/>
      </w:pPr>
      <w:r>
        <w:rPr>
          <w:bCs/>
          <w:b/>
        </w:rPr>
        <w:t xml:space="preserve">Launch a Talent Pipeline Fund</w:t>
      </w:r>
      <w:r>
        <w:t xml:space="preserve"> </w:t>
      </w:r>
      <w:r>
        <w:t xml:space="preserve">allocating $500k annually toward university partnerships and early-career Chemical Engineer development programs.</w:t>
      </w:r>
    </w:p>
    <w:p>
      <w:pPr>
        <w:pStyle w:val="FirstParagraph"/>
      </w:pPr>
      <w:r>
        <w:t xml:space="preserve">In the dynamic economy of United States San Francisco, where innovation cycles accelerate daily, the Chemical Engineer has become our most valuable sales asset. This Sales Report provides the evidence-based roadmap to transform talent investment into sustained revenue leadership. As one client recently stated in a Q3 post-mortem: "Your Chemical Engineer's solution didn't just meet our needs – it created a new market opportunity we hadn't considered." That is the competitive advantage we will scale across all United States San Francisco operations.</w:t>
      </w:r>
    </w:p>
    <w:p>
      <w:pPr>
        <w:pStyle w:val="BodyText"/>
      </w:pPr>
      <w:r>
        <w:t xml:space="preserve">Sales Report Prepared For: Executive Leadership Team | Distribution Restricted to Authorized Personnel | Confidential - Q3 2023</w:t>
      </w:r>
    </w:p>
    <w:p>
      <w:pPr>
        <w:pStyle w:val="BodyText"/>
      </w:pPr>
      <w:r>
        <w:t xml:space="preserve">Word Count: 872 | Document Version: 4.1</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 United States San Francisco</dc:title>
  <dc:creator/>
  <dc:language>en</dc:language>
  <cp:keywords/>
  <dcterms:created xsi:type="dcterms:W3CDTF">2026-07-24T00:06:11Z</dcterms:created>
  <dcterms:modified xsi:type="dcterms:W3CDTF">2026-07-24T00:06:11Z</dcterms:modified>
</cp:coreProperties>
</file>

<file path=docProps/custom.xml><?xml version="1.0" encoding="utf-8"?>
<Properties xmlns="http://schemas.openxmlformats.org/officeDocument/2006/custom-properties" xmlns:vt="http://schemas.openxmlformats.org/officeDocument/2006/docPropsVTypes"/>
</file>