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Argentina</w:t>
      </w:r>
    </w:p>
    <w:bookmarkStart w:id="27" w:name="X43d6e12aa433f33c9f31ea5fe86518a9941da57"/>
    <w:p>
      <w:pPr>
        <w:pStyle w:val="Heading1"/>
      </w:pPr>
      <w:r>
        <w:t xml:space="preserve">Sales Performance Report: Buenos Aires Chemist Operations -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Argentine Pharmacy Network</w:t>
      </w:r>
      <w:r>
        <w:br/>
      </w:r>
      <w:r>
        <w:rPr>
          <w:bCs/>
          <w:b/>
        </w:rPr>
        <w:t xml:space="preserve">Period Covered: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performance of our leading chemist (pharmacy) chain across Buenos Aires, Argentina during Q3 2023. Despite ongoing economic volatility in Argentina, our Buenos Aires operations demonstrated resilience with a 7.8% year-over-year sales growth, significantly outperforming the national pharmacy sector average of 2.1%. The success was driven by strategic inventory management, localized product offerings catering to Argentine consumer preferences, and targeted community health initiatives. This report confirms that our chemist model remains highly viable in Argentina's challenging economic landscape when properly adapted to Buenos Aires' unique market dynamics.</w:t>
      </w:r>
    </w:p>
    <w:bookmarkEnd w:id="20"/>
    <w:bookmarkStart w:id="21" w:name="Xab8e1cf254e5d2eb90f4a169cdd949ad09abeeb"/>
    <w:p>
      <w:pPr>
        <w:pStyle w:val="Heading2"/>
      </w:pPr>
      <w:r>
        <w:t xml:space="preserve">2. Market Context: Chemist Operations in Buenos Aires</w:t>
      </w:r>
    </w:p>
    <w:p>
      <w:pPr>
        <w:pStyle w:val="FirstParagraph"/>
      </w:pPr>
      <w:r>
        <w:t xml:space="preserve">Buenos Aires represents Argentina's largest pharmaceutical market, accounting for 38% of the country's total pharmacy sales volume. As a cosmopolitan metropolis with diverse socioeconomic segments, our chemist locations face distinct challenges including inflation-driven purchasing power shifts and varying health priorities across neighborhoods like Palermo (affluent), Barracas (middle-class), and Villa Lugano (low-income). Crucially, Argentine law mandates 24/7 emergency pharmacy coverage in major cities – a regulation we fully comply with through our 18 strategic locations in the Buenos Aires metropolitan area. Our chemist network has become an indispensable community health resource, particularly during recent influenza season spikes.</w:t>
      </w:r>
    </w:p>
    <w:bookmarkEnd w:id="21"/>
    <w:bookmarkStart w:id="22" w:name="sales-performance-overview"/>
    <w:p>
      <w:pPr>
        <w:pStyle w:val="Heading2"/>
      </w:pPr>
      <w:r>
        <w:t xml:space="preserve">3. Sales Performance Overview</w:t>
      </w:r>
    </w:p>
    <w:p>
      <w:pPr>
        <w:pStyle w:val="FirstParagraph"/>
      </w:pPr>
      <w:r>
        <w:t xml:space="preserve">Category</w:t>
      </w:r>
    </w:p>
    <w:p>
      <w:pPr>
        <w:pStyle w:val="BodyText"/>
      </w:pPr>
      <w:r>
        <w:t xml:space="preserve">Q3 2023 Sales (ARS)</w:t>
      </w:r>
    </w:p>
    <w:p>
      <w:pPr>
        <w:pStyle w:val="BodyText"/>
      </w:pPr>
      <w:r>
        <w:t xml:space="preserve">YoY Change</w:t>
      </w:r>
    </w:p>
    <w:p>
      <w:pPr>
        <w:pStyle w:val="BodyText"/>
      </w:pPr>
      <w:r>
        <w:t xml:space="preserve">Market Share</w:t>
      </w:r>
    </w:p>
    <w:p>
      <w:pPr>
        <w:pStyle w:val="BodyText"/>
      </w:pPr>
      <w:r>
        <w:t xml:space="preserve">Total Sales</w:t>
      </w:r>
    </w:p>
    <w:p>
      <w:pPr>
        <w:pStyle w:val="BodyText"/>
      </w:pPr>
      <w:r>
        <w:t xml:space="preserve">$14,850,000</w:t>
      </w:r>
    </w:p>
    <w:p>
      <w:pPr>
        <w:pStyle w:val="BodyText"/>
      </w:pPr>
      <w:r>
        <w:t xml:space="preserve">+7.8%</w:t>
      </w:r>
    </w:p>
    <w:p>
      <w:pPr>
        <w:pStyle w:val="BodyText"/>
      </w:pPr>
      <w:r>
        <w:t xml:space="preserve">12.3%</w:t>
      </w:r>
    </w:p>
    <w:p>
      <w:pPr>
        <w:pStyle w:val="BodyText"/>
      </w:pPr>
      <w:r>
        <w:t xml:space="preserve">OTC Medications</w:t>
      </w:r>
    </w:p>
    <w:p>
      <w:pPr>
        <w:pStyle w:val="BodyText"/>
      </w:pPr>
      <w:r>
        <w:t xml:space="preserve">$6,215,000</w:t>
      </w:r>
    </w:p>
    <w:p>
      <w:pPr>
        <w:pStyle w:val="BodyText"/>
      </w:pPr>
      <w:r>
        <w:t xml:space="preserve">+9.2%</w:t>
      </w:r>
    </w:p>
    <w:p>
      <w:pPr>
        <w:pStyle w:val="BodyText"/>
      </w:pPr>
      <w:r>
        <w:t xml:space="preserve">14.7%*</w:t>
      </w:r>
    </w:p>
    <w:p>
      <w:pPr>
        <w:pStyle w:val="BodyText"/>
      </w:pPr>
      <w:r>
        <w:t xml:space="preserve">Cosmetics &amp; Personal Care</w:t>
      </w:r>
    </w:p>
    <w:p>
      <w:pPr>
        <w:pStyle w:val="BodyText"/>
      </w:pPr>
      <w:r>
        <w:t xml:space="preserve">$3,892,000</w:t>
      </w:r>
    </w:p>
    <w:p>
      <w:pPr>
        <w:pStyle w:val="BodyText"/>
      </w:pPr>
      <w:r>
        <w:t xml:space="preserve">+5.3%</w:t>
      </w:r>
    </w:p>
    <w:p>
      <w:pPr>
        <w:pStyle w:val="BodyText"/>
      </w:pPr>
      <w:r>
        <w:t xml:space="preserve">11.2%*</w:t>
      </w:r>
    </w:p>
    <w:p>
      <w:pPr>
        <w:pStyle w:val="BodyText"/>
      </w:pPr>
      <w:r>
        <w:t xml:space="preserve">Baby Care Products</w:t>
      </w:r>
    </w:p>
    <w:p>
      <w:pPr>
        <w:pStyle w:val="BodyText"/>
      </w:pPr>
      <w:r>
        <w:t xml:space="preserve">$2,418,000</w:t>
      </w:r>
    </w:p>
    <w:p>
      <w:pPr>
        <w:pStyle w:val="BodyText"/>
      </w:pPr>
      <w:r>
        <w:t xml:space="preserve">+6.7%</w:t>
      </w:r>
    </w:p>
    <w:p>
      <w:pPr>
        <w:pStyle w:val="BodyText"/>
      </w:pPr>
      <w:r>
        <w:t xml:space="preserve">9.8%*</w:t>
      </w:r>
    </w:p>
    <w:p>
      <w:pPr>
        <w:pStyle w:val="BodyText"/>
      </w:pPr>
      <w:r>
        <w:t xml:space="preserve">Health Supplements</w:t>
      </w:r>
    </w:p>
    <w:p>
      <w:pPr>
        <w:pStyle w:val="BodyText"/>
      </w:pPr>
      <w:r>
        <w:t xml:space="preserve">$1,532,000</w:t>
      </w:r>
    </w:p>
    <w:p>
      <w:pPr>
        <w:pStyle w:val="BodyText"/>
      </w:pPr>
      <w:r>
        <w:t xml:space="preserve">+12.4%</w:t>
      </w:r>
    </w:p>
    <w:p>
      <w:pPr>
        <w:pStyle w:val="BodyText"/>
      </w:pPr>
      <w:r>
        <w:t xml:space="preserve">17.3%*</w:t>
      </w:r>
    </w:p>
    <w:p>
      <w:pPr>
        <w:pStyle w:val="BodyText"/>
      </w:pPr>
      <w:r>
        <w:t xml:space="preserve">*Market share calculated against Buenos Aires regional competitors</w:t>
      </w:r>
    </w:p>
    <w:bookmarkEnd w:id="22"/>
    <w:bookmarkStart w:id="23" w:name="Xdae56bd67e4a4cb83f0d224252b39a3a7e37d58"/>
    <w:p>
      <w:pPr>
        <w:pStyle w:val="Heading2"/>
      </w:pPr>
      <w:r>
        <w:t xml:space="preserve">4. Key Regional Insights: Buenos Aires Market Dynamics</w:t>
      </w:r>
    </w:p>
    <w:p>
      <w:pPr>
        <w:pStyle w:val="FirstParagraph"/>
      </w:pPr>
      <w:r>
        <w:t xml:space="preserve">The success in Argentina's capital stems from hyper-localized strategies. For instance:</w:t>
      </w:r>
    </w:p>
    <w:p>
      <w:pPr>
        <w:numPr>
          <w:ilvl w:val="0"/>
          <w:numId w:val="1001"/>
        </w:numPr>
        <w:pStyle w:val="Compact"/>
      </w:pPr>
      <w:r>
        <w:rPr>
          <w:bCs/>
          <w:b/>
        </w:rPr>
        <w:t xml:space="preserve">Palliative Care Focus:</w:t>
      </w:r>
      <w:r>
        <w:t xml:space="preserve"> </w:t>
      </w:r>
      <w:r>
        <w:t xml:space="preserve">Increased demand for pain relief products (particularly acetaminophen) in La Boca and San Telmo areas due to higher elderly population density, driving 18% category growth.</w:t>
      </w:r>
    </w:p>
    <w:p>
      <w:pPr>
        <w:numPr>
          <w:ilvl w:val="0"/>
          <w:numId w:val="1001"/>
        </w:numPr>
        <w:pStyle w:val="Compact"/>
      </w:pPr>
      <w:r>
        <w:rPr>
          <w:bCs/>
          <w:b/>
        </w:rPr>
        <w:t xml:space="preserve">Baby Product Innovation:</w:t>
      </w:r>
      <w:r>
        <w:t xml:space="preserve"> </w:t>
      </w:r>
      <w:r>
        <w:t xml:space="preserve">Exclusive partnership with local Argentine brand "Mamá y Bebé" for region-specific infant formulas resulted in 27% sales lift in Maternity sections across our Buenos Aires chemist stores.</w:t>
      </w:r>
    </w:p>
    <w:p>
      <w:pPr>
        <w:numPr>
          <w:ilvl w:val="0"/>
          <w:numId w:val="1001"/>
        </w:numPr>
        <w:pStyle w:val="Compact"/>
      </w:pPr>
      <w:r>
        <w:rPr>
          <w:bCs/>
          <w:b/>
        </w:rPr>
        <w:t xml:space="preserve">Economic Adaptation:</w:t>
      </w:r>
      <w:r>
        <w:t xml:space="preserve"> </w:t>
      </w:r>
      <w:r>
        <w:t xml:space="preserve">Introduction of "Bono de Salud" discount bundles (40% cheaper bulk purchases of essential OTCs) captured 15,000 new price-sensitive customers during high-inflation period.</w:t>
      </w:r>
    </w:p>
    <w:bookmarkEnd w:id="23"/>
    <w:bookmarkStart w:id="24" w:name="competitive-differentiation-in-argentina"/>
    <w:p>
      <w:pPr>
        <w:pStyle w:val="Heading2"/>
      </w:pPr>
      <w:r>
        <w:t xml:space="preserve">5. Competitive Differentiation in Argentina</w:t>
      </w:r>
    </w:p>
    <w:p>
      <w:pPr>
        <w:pStyle w:val="FirstParagraph"/>
      </w:pPr>
      <w:r>
        <w:t xml:space="preserve">While national competitors focus on urban centers, our Buenos Aires chemist model excels through:</w:t>
      </w:r>
    </w:p>
    <w:p>
      <w:pPr>
        <w:numPr>
          <w:ilvl w:val="0"/>
          <w:numId w:val="1002"/>
        </w:numPr>
        <w:pStyle w:val="Compact"/>
      </w:pPr>
      <w:r>
        <w:rPr>
          <w:bCs/>
          <w:b/>
        </w:rPr>
        <w:t xml:space="preserve">Compliance with Argentine Health Regulations:</w:t>
      </w:r>
      <w:r>
        <w:t xml:space="preserve"> </w:t>
      </w:r>
      <w:r>
        <w:t xml:space="preserve">Full adherence to ANMAT (Argentine National Administration of Drugs, Food and Medical Technology) requirements for pharmaceutical sales documentation, avoiding 12 potential regulatory penalties in Q3.</w:t>
      </w:r>
    </w:p>
    <w:p>
      <w:pPr>
        <w:numPr>
          <w:ilvl w:val="0"/>
          <w:numId w:val="1002"/>
        </w:numPr>
        <w:pStyle w:val="Compact"/>
      </w:pPr>
      <w:r>
        <w:rPr>
          <w:bCs/>
          <w:b/>
        </w:rPr>
        <w:t xml:space="preserve">Cultural Sensitivity:</w:t>
      </w:r>
      <w:r>
        <w:t xml:space="preserve"> </w:t>
      </w:r>
      <w:r>
        <w:t xml:space="preserve">Localized product curation – including traditional Argentine herbal remedies like "Yerba Mate" supplements and locally adapted sunscreen formulas (UV protection adjusted for high-altitude sun exposure at La Plata region).</w:t>
      </w:r>
    </w:p>
    <w:p>
      <w:pPr>
        <w:numPr>
          <w:ilvl w:val="0"/>
          <w:numId w:val="1002"/>
        </w:numPr>
        <w:pStyle w:val="Compact"/>
      </w:pPr>
      <w:r>
        <w:rPr>
          <w:bCs/>
          <w:b/>
        </w:rPr>
        <w:t xml:space="preserve">Community Health Partnerships:</w:t>
      </w:r>
      <w:r>
        <w:t xml:space="preserve"> </w:t>
      </w:r>
      <w:r>
        <w:t xml:space="preserve">Collaboration with Buenos Aires city health clinics for free blood pressure screenings, increasing foot traffic by 22% across our network.</w:t>
      </w:r>
    </w:p>
    <w:bookmarkEnd w:id="24"/>
    <w:bookmarkStart w:id="25" w:name="challenges-strategic-opportunities"/>
    <w:p>
      <w:pPr>
        <w:pStyle w:val="Heading2"/>
      </w:pPr>
      <w:r>
        <w:t xml:space="preserve">6. Challenges &amp; Strategic Opportunities</w:t>
      </w:r>
    </w:p>
    <w:p>
      <w:pPr>
        <w:pStyle w:val="FirstParagraph"/>
      </w:pPr>
      <w:r>
        <w:t xml:space="preserve">The primary challenge remains Argentina's economic volatility impacting consumer behavior. However, three opportunities emerged:</w:t>
      </w:r>
    </w:p>
    <w:p>
      <w:pPr>
        <w:numPr>
          <w:ilvl w:val="0"/>
          <w:numId w:val="1003"/>
        </w:numPr>
        <w:pStyle w:val="Compact"/>
      </w:pPr>
      <w:r>
        <w:rPr>
          <w:bCs/>
          <w:b/>
        </w:rPr>
        <w:t xml:space="preserve">Telehealth Integration:</w:t>
      </w:r>
      <w:r>
        <w:t xml:space="preserve"> </w:t>
      </w:r>
      <w:r>
        <w:t xml:space="preserve">35% of Buenos Aires customers now use our app for remote consultations (partnering with local telemedicine provider "MediLink"). This generated $820,000 in ancillary sales and increased customer retention by 31%.</w:t>
      </w:r>
    </w:p>
    <w:p>
      <w:pPr>
        <w:numPr>
          <w:ilvl w:val="0"/>
          <w:numId w:val="1003"/>
        </w:numPr>
        <w:pStyle w:val="Compact"/>
      </w:pPr>
      <w:r>
        <w:rPr>
          <w:bCs/>
          <w:b/>
        </w:rPr>
        <w:t xml:space="preserve">Prescription Digitalization:</w:t>
      </w:r>
      <w:r>
        <w:t xml:space="preserve"> </w:t>
      </w:r>
      <w:r>
        <w:t xml:space="preserve">Implementing Argentina's new electronic prescription system (SIS) reduced wait times by 45%, directly boosting prescription fulfillment rates by 29%.</w:t>
      </w:r>
    </w:p>
    <w:p>
      <w:pPr>
        <w:numPr>
          <w:ilvl w:val="0"/>
          <w:numId w:val="1003"/>
        </w:numPr>
        <w:pStyle w:val="Compact"/>
      </w:pPr>
      <w:r>
        <w:rPr>
          <w:bCs/>
          <w:b/>
        </w:rPr>
        <w:t xml:space="preserve">Sustainability Initiatives:</w:t>
      </w:r>
      <w:r>
        <w:t xml:space="preserve"> </w:t>
      </w:r>
      <w:r>
        <w:t xml:space="preserve">Launch of "Recicla Farmacia" program (plastic bottle recycling for discount coupons) attracted 8,600 new eco-conscious customers in Buenos Aires alone.</w:t>
      </w:r>
    </w:p>
    <w:bookmarkEnd w:id="25"/>
    <w:bookmarkStart w:id="26" w:name="conclusion-recommendations"/>
    <w:p>
      <w:pPr>
        <w:pStyle w:val="Heading2"/>
      </w:pPr>
      <w:r>
        <w:t xml:space="preserve">7. Conclusion &amp; Recommendations</w:t>
      </w:r>
    </w:p>
    <w:p>
      <w:pPr>
        <w:pStyle w:val="FirstParagraph"/>
      </w:pPr>
      <w:r>
        <w:t xml:space="preserve">The Q3 Sales Report confirms that our chemist operations in Argentina's Buenos Aires are not only surviving but thriving amid economic headwinds. The 7.8% sales growth demonstrates that a community-focused, regulatory-compliant model resonates deeply with Argentine consumers. Crucially, this success is replicable across Argentina due to its localization strategy – a blueprint that works specifically for the Buenos Aires market's cultural and economic realities.</w:t>
      </w:r>
    </w:p>
    <w:p>
      <w:pPr>
        <w:pStyle w:val="BodyText"/>
      </w:pPr>
      <w:r>
        <w:rPr>
          <w:bCs/>
          <w:b/>
        </w:rPr>
        <w:t xml:space="preserve">Recommended Actions:</w:t>
      </w:r>
    </w:p>
    <w:p>
      <w:pPr>
        <w:numPr>
          <w:ilvl w:val="0"/>
          <w:numId w:val="1004"/>
        </w:numPr>
        <w:pStyle w:val="Compact"/>
      </w:pPr>
      <w:r>
        <w:t xml:space="preserve">Expand "Bono de Salud" bundles nationwide by Q1 2024, targeting Argentina's 6 major cities</w:t>
      </w:r>
    </w:p>
    <w:p>
      <w:pPr>
        <w:numPr>
          <w:ilvl w:val="0"/>
          <w:numId w:val="1004"/>
        </w:numPr>
        <w:pStyle w:val="Compact"/>
      </w:pPr>
      <w:r>
        <w:t xml:space="preserve">Invest $750,000 in telehealth infrastructure for all Buenos Aires chemist locations to capture growing digital health demand</w:t>
      </w:r>
    </w:p>
    <w:p>
      <w:pPr>
        <w:numPr>
          <w:ilvl w:val="0"/>
          <w:numId w:val="1004"/>
        </w:numPr>
        <w:pStyle w:val="Compact"/>
      </w:pPr>
      <w:r>
        <w:t xml:space="preserve">Develop exclusive Argentine-made formulations (e.g., artemisinin-based malaria prevention products) to leverage local manufacturing incentives</w:t>
      </w:r>
    </w:p>
    <w:p>
      <w:pPr>
        <w:numPr>
          <w:ilvl w:val="0"/>
          <w:numId w:val="1004"/>
        </w:numPr>
        <w:pStyle w:val="Compact"/>
      </w:pPr>
      <w:r>
        <w:t xml:space="preserve">Maintain 24/7 emergency coverage standard as non-negotiable in all Buenos Aires chemist operations</w:t>
      </w:r>
    </w:p>
    <w:p>
      <w:pPr>
        <w:pStyle w:val="FirstParagraph"/>
      </w:pPr>
      <w:r>
        <w:t xml:space="preserve">In closing, this report affirms that our chemist business model has achieved sustainable success in Argentina's most demanding market – Buenos Aires. The data proves that when pharmaceutical operations deeply understand local regulations, cultural nuances, and economic pressures of Argentina's capital city, they become not just commercial entities but essential community health partners. We recommend doubling down on these localized strategies to capture additional market share as Argentina's healthcare landscape evolves.</w:t>
      </w:r>
    </w:p>
    <w:p>
      <w:pPr>
        <w:pStyle w:val="BodyText"/>
      </w:pPr>
      <w:r>
        <w:rPr>
          <w:bCs/>
          <w:b/>
        </w:rPr>
        <w:t xml:space="preserve">Prepared By:</w:t>
      </w:r>
      <w:r>
        <w:t xml:space="preserve"> </w:t>
      </w:r>
      <w:r>
        <w:t xml:space="preserve">María Gómez, Regional Sales Director</w:t>
      </w:r>
      <w:r>
        <w:br/>
      </w:r>
      <w:r>
        <w:rPr>
          <w:bCs/>
          <w:b/>
        </w:rPr>
        <w:t xml:space="preserve">Pharmacy Network Argentina</w:t>
      </w:r>
      <w:r>
        <w:br/>
      </w:r>
      <w:r>
        <w:t xml:space="preserve">Buenos Aires,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Buenos Aires, Argentina</dc:title>
  <dc:creator/>
  <dc:language>en</dc:language>
  <cp:keywords/>
  <dcterms:created xsi:type="dcterms:W3CDTF">2026-07-23T20:58:28Z</dcterms:created>
  <dcterms:modified xsi:type="dcterms:W3CDTF">2026-07-23T20:58:28Z</dcterms:modified>
</cp:coreProperties>
</file>

<file path=docProps/custom.xml><?xml version="1.0" encoding="utf-8"?>
<Properties xmlns="http://schemas.openxmlformats.org/officeDocument/2006/custom-properties" xmlns:vt="http://schemas.openxmlformats.org/officeDocument/2006/docPropsVTypes"/>
</file>