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Sydney</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8ec145245d2176bfeaed1e52d6aba1e3f9495ac"/>
    <w:p>
      <w:pPr>
        <w:pStyle w:val="Heading1"/>
      </w:pPr>
      <w:r>
        <w:t xml:space="preserve">Q3 2023 Sales Report: Comprehensive Performance Analysis for Australia Sydney Chemist Network</w:t>
      </w:r>
    </w:p>
    <w:bookmarkStart w:id="20" w:name="executive-summary"/>
    <w:p>
      <w:pPr>
        <w:pStyle w:val="Heading2"/>
      </w:pPr>
      <w:r>
        <w:t xml:space="preserve">Executive Summary</w:t>
      </w:r>
    </w:p>
    <w:p>
      <w:pPr>
        <w:pStyle w:val="FirstParagraph"/>
      </w:pPr>
      <w:r>
        <w:t xml:space="preserve">This quarterly Sales Report provides an in-depth analysis of the performance across our Chemist network operating within the vibrant market of Australia Sydney. As one of the largest pharmacy chains serving Greater Sydney, we've navigated evolving consumer healthcare demands while maintaining exceptional service standards. This report details a 7.3% year-on-year revenue growth, exceeding regional benchmarks by 2.1%, driven by strategic product expansion and community engagement initiatives in Australia Sydney's diverse suburbs.</w:t>
      </w:r>
    </w:p>
    <w:bookmarkEnd w:id="20"/>
    <w:bookmarkStart w:id="22" w:name="regional-performance-overview"/>
    <w:p>
      <w:pPr>
        <w:pStyle w:val="Heading2"/>
      </w:pPr>
      <w:r>
        <w:t xml:space="preserve">Regional Performance Overview</w:t>
      </w:r>
    </w:p>
    <w:p>
      <w:pPr>
        <w:pStyle w:val="FirstParagraph"/>
      </w:pPr>
      <w:r>
        <w:t xml:space="preserve">The Australia Sydney region has demonstrated remarkable resilience, with our flagship Chemist locations in key urban centers (Sydney CBD, Parramatta, Bondi Junction) contributing 68% of total regional sales. Notably, our suburban Chemist outlets in Penrith and Sutherland have shown exceptional growth at 12.4% YoY, reflecting strong community integration. This performance underscores the effectiveness of our localized approach to healthcare delivery across Australia Sydney's unique demographic landscape.</w:t>
      </w:r>
    </w:p>
    <w:bookmarkStart w:id="21" w:name="key-sales-metrics-q3-2023-vs-q3-2022"/>
    <w:p>
      <w:pPr>
        <w:pStyle w:val="Heading3"/>
      </w:pPr>
      <w:r>
        <w:t xml:space="preserve">Key Sales Metrics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Revenue ($AUD)</w:t>
            </w:r>
          </w:p>
        </w:tc>
        <w:tc>
          <w:tcPr/>
          <w:p>
            <w:pPr>
              <w:pStyle w:val="Compact"/>
              <w:jc w:val="left"/>
            </w:pPr>
            <w:r>
              <w:t xml:space="preserve">% Change</w:t>
            </w:r>
          </w:p>
        </w:tc>
        <w:tc>
          <w:tcPr/>
          <w:p>
            <w:pPr>
              <w:pStyle w:val="Compact"/>
              <w:jc w:val="left"/>
            </w:pPr>
            <w:r>
              <w:t xml:space="preserve">Market Share</w:t>
            </w:r>
          </w:p>
        </w:tc>
      </w:tr>
      <w:tr>
        <w:tc>
          <w:tcPr/>
          <w:p>
            <w:pPr>
              <w:pStyle w:val="Compact"/>
              <w:jc w:val="left"/>
            </w:pPr>
            <w:r>
              <w:t xml:space="preserve">Prescription Medications</w:t>
            </w:r>
          </w:p>
        </w:tc>
        <w:tc>
          <w:tcPr/>
          <w:p>
            <w:pPr>
              <w:pStyle w:val="Compact"/>
              <w:jc w:val="left"/>
            </w:pPr>
            <w:r>
              <w:t xml:space="preserve">$4,285,000</w:t>
            </w:r>
          </w:p>
        </w:tc>
        <w:tc>
          <w:tcPr/>
          <w:p>
            <w:pPr>
              <w:pStyle w:val="Compact"/>
              <w:jc w:val="left"/>
            </w:pPr>
            <w:r>
              <w:t xml:space="preserve">+5.1%</w:t>
            </w:r>
          </w:p>
        </w:tc>
        <w:tc>
          <w:tcPr/>
          <w:p>
            <w:pPr>
              <w:pStyle w:val="Compact"/>
              <w:jc w:val="left"/>
            </w:pPr>
            <w:r>
              <w:t xml:space="preserve">38.7%</w:t>
            </w:r>
          </w:p>
        </w:tc>
      </w:tr>
      <w:tr>
        <w:tc>
          <w:tcPr/>
          <w:p>
            <w:pPr>
              <w:pStyle w:val="Compact"/>
              <w:jc w:val="left"/>
            </w:pPr>
            <w:r>
              <w:t xml:space="preserve">OTC &amp; Wellness Products</w:t>
            </w:r>
          </w:p>
        </w:tc>
        <w:tc>
          <w:tcPr/>
          <w:p>
            <w:pPr>
              <w:pStyle w:val="Compact"/>
              <w:jc w:val="left"/>
            </w:pPr>
            <w:r>
              <w:t xml:space="preserve">$3,126,500</w:t>
            </w:r>
          </w:p>
        </w:tc>
        <w:tc>
          <w:tcPr/>
          <w:p>
            <w:pPr>
              <w:pStyle w:val="Compact"/>
              <w:jc w:val="left"/>
            </w:pPr>
            <w:r>
              <w:t xml:space="preserve">+9.8%</w:t>
            </w:r>
          </w:p>
        </w:tc>
        <w:tc>
          <w:tcPr/>
          <w:p>
            <w:pPr>
              <w:pStyle w:val="Compact"/>
              <w:jc w:val="left"/>
            </w:pPr>
            <w:r>
              <w:t xml:space="preserve">28.5%</w:t>
            </w:r>
          </w:p>
        </w:tc>
      </w:tr>
      <w:tr>
        <w:tc>
          <w:tcPr/>
          <w:p>
            <w:pPr>
              <w:pStyle w:val="Compact"/>
              <w:jc w:val="left"/>
            </w:pPr>
            <w:r>
              <w:t xml:space="preserve">Healthcare Services (Vaccinations, Consultations)</w:t>
            </w:r>
          </w:p>
        </w:tc>
        <w:tc>
          <w:tcPr/>
          <w:p>
            <w:pPr>
              <w:pStyle w:val="Compact"/>
              <w:jc w:val="left"/>
            </w:pPr>
            <w:r>
              <w:t xml:space="preserve">$1,742,000</w:t>
            </w:r>
          </w:p>
        </w:tc>
        <w:tc>
          <w:tcPr/>
          <w:p>
            <w:pPr>
              <w:pStyle w:val="Compact"/>
              <w:jc w:val="left"/>
            </w:pPr>
            <w:r>
              <w:t xml:space="preserve">+14.3%</w:t>
            </w:r>
          </w:p>
        </w:tc>
        <w:tc>
          <w:tcPr/>
          <w:p>
            <w:pPr>
              <w:pStyle w:val="Compact"/>
              <w:jc w:val="left"/>
            </w:pPr>
            <w:r>
              <w:t xml:space="preserve">15.9%</w:t>
            </w:r>
          </w:p>
        </w:tc>
      </w:tr>
      <w:tr>
        <w:tc>
          <w:tcPr/>
          <w:p>
            <w:pPr>
              <w:pStyle w:val="Compact"/>
              <w:jc w:val="left"/>
            </w:pPr>
            <w:r>
              <w:t xml:space="preserve">Beauty &amp; Personal Care</w:t>
            </w:r>
          </w:p>
        </w:tc>
        <w:tc>
          <w:tcPr/>
          <w:p>
            <w:pPr>
              <w:pStyle w:val="Compact"/>
              <w:jc w:val="left"/>
            </w:pPr>
            <w:r>
              <w:t xml:space="preserve">$863,200</w:t>
            </w:r>
          </w:p>
        </w:tc>
        <w:tc>
          <w:tcPr/>
          <w:p>
            <w:pPr>
              <w:pStyle w:val="Compact"/>
              <w:jc w:val="left"/>
            </w:pPr>
            <w:r>
              <w:t xml:space="preserve">+7.6%</w:t>
            </w:r>
          </w:p>
        </w:tc>
        <w:tc>
          <w:tcPr/>
          <w:p>
            <w:pPr>
              <w:pStyle w:val="Compact"/>
              <w:jc w:val="left"/>
            </w:pPr>
            <w:r>
              <w:t xml:space="preserve">7.8%</w:t>
            </w:r>
          </w:p>
        </w:tc>
      </w:tr>
      <w:tr>
        <w:tc>
          <w:tcPr/>
          <w:p>
            <w:pPr>
              <w:pStyle w:val="Compact"/>
              <w:jc w:val="left"/>
            </w:pPr>
            <w:r>
              <w:t xml:space="preserve">Total Revenue</w:t>
            </w:r>
          </w:p>
        </w:tc>
        <w:tc>
          <w:tcPr/>
          <w:p>
            <w:pPr>
              <w:pStyle w:val="Compact"/>
              <w:jc w:val="left"/>
            </w:pPr>
            <w:r>
              <w:t xml:space="preserve">$9,916,700</w:t>
            </w:r>
          </w:p>
        </w:tc>
        <w:tc>
          <w:tcPr/>
          <w:p>
            <w:pPr>
              <w:pStyle w:val="Compact"/>
              <w:jc w:val="left"/>
            </w:pPr>
            <w:r>
              <w:t xml:space="preserve">+7.3%</w:t>
            </w:r>
          </w:p>
        </w:tc>
        <w:tc>
          <w:tcPr/>
          <w:p>
            <w:pPr>
              <w:pStyle w:val="Compact"/>
              <w:jc w:val="left"/>
            </w:pPr>
            <w:r>
              <w:t xml:space="preserve">100%</w:t>
            </w:r>
          </w:p>
        </w:tc>
      </w:tr>
    </w:tbl>
    <w:bookmarkEnd w:id="21"/>
    <w:bookmarkEnd w:id="22"/>
    <w:bookmarkStart w:id="23" w:name="X6fc4ed3f19a5b65694e2abc72d03b14921c6ec1"/>
    <w:p>
      <w:pPr>
        <w:pStyle w:val="Heading2"/>
      </w:pPr>
      <w:r>
        <w:t xml:space="preserve">Market Analysis: Australia Sydney Healthcare Landscape</w:t>
      </w:r>
    </w:p>
    <w:p>
      <w:pPr>
        <w:pStyle w:val="FirstParagraph"/>
      </w:pPr>
      <w:r>
        <w:t xml:space="preserve">The Chemist sector in Australia Sydney has experienced significant transformation since the 2021 pandemic recovery period. With over 48% of Sydney's population aged between 30-59 years (ABS data), there's heightened demand for preventative healthcare solutions and wellness products. Our Q3 Sales Report identifies three critical trends shaping the Australia Sydney Chemist market:</w:t>
      </w:r>
    </w:p>
    <w:p>
      <w:pPr>
        <w:numPr>
          <w:ilvl w:val="0"/>
          <w:numId w:val="1001"/>
        </w:numPr>
        <w:pStyle w:val="Compact"/>
      </w:pPr>
      <w:r>
        <w:rPr>
          <w:bCs/>
          <w:b/>
        </w:rPr>
        <w:t xml:space="preserve">Wellness Integration:</w:t>
      </w:r>
      <w:r>
        <w:t xml:space="preserve"> </w:t>
      </w:r>
      <w:r>
        <w:t xml:space="preserve">Customers increasingly seek holistic health solutions, driving 22% growth in vitamin/immunity products across all Australia Sydney locations.</w:t>
      </w:r>
    </w:p>
    <w:p>
      <w:pPr>
        <w:numPr>
          <w:ilvl w:val="0"/>
          <w:numId w:val="1001"/>
        </w:numPr>
        <w:pStyle w:val="Compact"/>
      </w:pPr>
      <w:r>
        <w:rPr>
          <w:bCs/>
          <w:b/>
        </w:rPr>
        <w:t xml:space="preserve">Digital Adoption:</w:t>
      </w:r>
      <w:r>
        <w:t xml:space="preserve"> </w:t>
      </w:r>
      <w:r>
        <w:t xml:space="preserve">63% of Sydney customers now use our mobile app for prescription refills – a 37% increase from Q1, directly contributing to customer retention.</w:t>
      </w:r>
    </w:p>
    <w:p>
      <w:pPr>
        <w:numPr>
          <w:ilvl w:val="0"/>
          <w:numId w:val="1001"/>
        </w:numPr>
        <w:pStyle w:val="Compact"/>
      </w:pPr>
      <w:r>
        <w:rPr>
          <w:bCs/>
          <w:b/>
        </w:rPr>
        <w:t xml:space="preserve">Community Health Focus:</w:t>
      </w:r>
      <w:r>
        <w:t xml:space="preserve"> </w:t>
      </w:r>
      <w:r>
        <w:t xml:space="preserve">Our partnership with Sydney Local Health Districts has positioned Australia Sydney Chemist locations as primary vaccination hubs, driving a 41% rise in clinic services.</w:t>
      </w:r>
    </w:p>
    <w:bookmarkEnd w:id="23"/>
    <w:bookmarkStart w:id="26" w:name="product-category-performance-highlights"/>
    <w:p>
      <w:pPr>
        <w:pStyle w:val="Heading2"/>
      </w:pPr>
      <w:r>
        <w:t xml:space="preserve">Product Category Performance Highlights</w:t>
      </w:r>
    </w:p>
    <w:p>
      <w:pPr>
        <w:pStyle w:val="FirstParagraph"/>
      </w:pPr>
      <w:r>
        <w:t xml:space="preserve">The performance of specific product lines in the Australia Sydney market reveals strategic opportunities:</w:t>
      </w:r>
    </w:p>
    <w:bookmarkStart w:id="24" w:name="X9bda06239a556b426eed64f470fa4eabb0af062"/>
    <w:p>
      <w:pPr>
        <w:pStyle w:val="Heading3"/>
      </w:pPr>
      <w:r>
        <w:t xml:space="preserve">Prescription Medications: Stability with Growth</w:t>
      </w:r>
    </w:p>
    <w:p>
      <w:pPr>
        <w:pStyle w:val="FirstParagraph"/>
      </w:pPr>
      <w:r>
        <w:t xml:space="preserve">Despite national prescription drug price pressures, our Australia Sydney Chemist locations maintained a 4.8% growth in high-volume categories (antibiotics, chronic disease management). Key driver: Enhanced medication therapy management services at our Parramatta and Chatswood Chemist outlets.</w:t>
      </w:r>
    </w:p>
    <w:bookmarkEnd w:id="24"/>
    <w:bookmarkStart w:id="25" w:name="otc-wellness-products-the-growth-engine"/>
    <w:p>
      <w:pPr>
        <w:pStyle w:val="Heading3"/>
      </w:pPr>
      <w:r>
        <w:t xml:space="preserve">OTC &amp; Wellness Products: The Growth Engine</w:t>
      </w:r>
    </w:p>
    <w:p>
      <w:pPr>
        <w:pStyle w:val="FirstParagraph"/>
      </w:pPr>
      <w:r>
        <w:t xml:space="preserve">This category delivered the strongest performance (+9.8%), with specific products driving success:</w:t>
      </w:r>
    </w:p>
    <w:p>
      <w:pPr>
        <w:numPr>
          <w:ilvl w:val="0"/>
          <w:numId w:val="1002"/>
        </w:numPr>
        <w:pStyle w:val="Compact"/>
      </w:pPr>
      <w:r>
        <w:t xml:space="preserve">Probiotics: 27% growth (linked to Sydney's wellness trend)</w:t>
      </w:r>
    </w:p>
    <w:p>
      <w:pPr>
        <w:numPr>
          <w:ilvl w:val="0"/>
          <w:numId w:val="1002"/>
        </w:numPr>
        <w:pStyle w:val="Compact"/>
      </w:pPr>
      <w:r>
        <w:t xml:space="preserve">Sunscreen (SPF 50+): 34% surge during summer season</w:t>
      </w:r>
    </w:p>
    <w:p>
      <w:pPr>
        <w:numPr>
          <w:ilvl w:val="0"/>
          <w:numId w:val="1002"/>
        </w:numPr>
        <w:pStyle w:val="Compact"/>
      </w:pPr>
      <w:r>
        <w:t xml:space="preserve">Menopause Support Products: 42% increase following targeted community education events in Australia Sydney suburbs</w:t>
      </w:r>
    </w:p>
    <w:bookmarkEnd w:id="25"/>
    <w:bookmarkEnd w:id="26"/>
    <w:bookmarkStart w:id="27" w:name="X33cb13fd80f8407f430cd8350613a9e696baedb"/>
    <w:p>
      <w:pPr>
        <w:pStyle w:val="Heading2"/>
      </w:pPr>
      <w:r>
        <w:t xml:space="preserve">Challenges Faced by Chemist in Australia Sydney Market</w:t>
      </w:r>
    </w:p>
    <w:p>
      <w:pPr>
        <w:pStyle w:val="FirstParagraph"/>
      </w:pPr>
      <w:r>
        <w:t xml:space="preserve">This Sales Report acknowledges three key challenges specific to operating a Chemist business in Australia Sydney:</w:t>
      </w:r>
    </w:p>
    <w:p>
      <w:pPr>
        <w:numPr>
          <w:ilvl w:val="0"/>
          <w:numId w:val="1003"/>
        </w:numPr>
        <w:pStyle w:val="Compact"/>
      </w:pPr>
      <w:r>
        <w:rPr>
          <w:bCs/>
          <w:b/>
        </w:rPr>
        <w:t xml:space="preserve">Supply Chain Volatility:</w:t>
      </w:r>
      <w:r>
        <w:t xml:space="preserve"> </w:t>
      </w:r>
      <w:r>
        <w:t xml:space="preserve">Persistent global shortages affected 15% of OTC products during Q3, particularly allergy medications. We mitigated this through diversifying suppliers and implementing AI-driven stock forecasting for the Australia Sydney region.</w:t>
      </w:r>
    </w:p>
    <w:p>
      <w:pPr>
        <w:numPr>
          <w:ilvl w:val="0"/>
          <w:numId w:val="1003"/>
        </w:numPr>
        <w:pStyle w:val="Compact"/>
      </w:pPr>
      <w:r>
        <w:rPr>
          <w:bCs/>
          <w:b/>
        </w:rPr>
        <w:t xml:space="preserve">Talent Acquisition:</w:t>
      </w:r>
      <w:r>
        <w:t xml:space="preserve"> </w:t>
      </w:r>
      <w:r>
        <w:t xml:space="preserve">High competition for pharmacy staff in Sydney (23% vacancy rate in metropolitan areas) required innovative recruitment strategies including partnerships with University of Sydney School of Pharmacy.</w:t>
      </w:r>
    </w:p>
    <w:p>
      <w:pPr>
        <w:numPr>
          <w:ilvl w:val="0"/>
          <w:numId w:val="1003"/>
        </w:numPr>
        <w:pStyle w:val="Compact"/>
      </w:pPr>
      <w:r>
        <w:rPr>
          <w:bCs/>
          <w:b/>
        </w:rPr>
        <w:t xml:space="preserve">Regulatory Complexity:</w:t>
      </w:r>
      <w:r>
        <w:t xml:space="preserve"> </w:t>
      </w:r>
      <w:r>
        <w:t xml:space="preserve">New NSW Health Department guidelines on non-prescription medications required 100% staff retraining across our Australia Sydney Chemist network by Q3 end.</w:t>
      </w:r>
    </w:p>
    <w:bookmarkEnd w:id="27"/>
    <w:bookmarkStart w:id="28" w:name="growth-opportunities-identified"/>
    <w:p>
      <w:pPr>
        <w:pStyle w:val="Heading2"/>
      </w:pPr>
      <w:r>
        <w:t xml:space="preserve">Growth Opportunities Identified</w:t>
      </w:r>
    </w:p>
    <w:p>
      <w:pPr>
        <w:pStyle w:val="FirstParagraph"/>
      </w:pPr>
      <w:r>
        <w:t xml:space="preserve">The data in this Sales Report confirms significant untapped potential for our Chemist business within Australia Sydney:</w:t>
      </w:r>
    </w:p>
    <w:p>
      <w:pPr>
        <w:numPr>
          <w:ilvl w:val="0"/>
          <w:numId w:val="1004"/>
        </w:numPr>
        <w:pStyle w:val="Compact"/>
      </w:pPr>
      <w:r>
        <w:rPr>
          <w:bCs/>
          <w:b/>
        </w:rPr>
        <w:t xml:space="preserve">Telehealth Integration:</w:t>
      </w:r>
      <w:r>
        <w:t xml:space="preserve"> </w:t>
      </w:r>
      <w:r>
        <w:t xml:space="preserve">68% of Sydney customers expressed interest in virtual consultations – an initiative we're piloting at Bondi Junction Chemist with projected 25% revenue uplift by Q1 2024.</w:t>
      </w:r>
    </w:p>
    <w:p>
      <w:pPr>
        <w:numPr>
          <w:ilvl w:val="0"/>
          <w:numId w:val="1004"/>
        </w:numPr>
        <w:pStyle w:val="Compact"/>
      </w:pPr>
      <w:r>
        <w:rPr>
          <w:bCs/>
          <w:b/>
        </w:rPr>
        <w:t xml:space="preserve">Sustainability Focus:</w:t>
      </w:r>
      <w:r>
        <w:t xml:space="preserve"> </w:t>
      </w:r>
      <w:r>
        <w:t xml:space="preserve">Launching eco-friendly packaging for all Australian-made products at our Sydney CBD Chemist location generated 31% customer satisfaction increase in community surveys.</w:t>
      </w:r>
    </w:p>
    <w:p>
      <w:pPr>
        <w:numPr>
          <w:ilvl w:val="0"/>
          <w:numId w:val="1004"/>
        </w:numPr>
        <w:pStyle w:val="Compact"/>
      </w:pPr>
      <w:r>
        <w:rPr>
          <w:bCs/>
          <w:b/>
        </w:rPr>
        <w:t xml:space="preserve">Senior Care Expansion:</w:t>
      </w:r>
      <w:r>
        <w:t xml:space="preserve"> </w:t>
      </w:r>
      <w:r>
        <w:t xml:space="preserve">Targeting Sydney's aging population (22% of residents over 65) through tailored medication reviews at our St. Leonards and Manly Chemist outlets.</w:t>
      </w:r>
    </w:p>
    <w:bookmarkEnd w:id="28"/>
    <w:bookmarkStart w:id="29" w:name="strategic-recommendations"/>
    <w:p>
      <w:pPr>
        <w:pStyle w:val="Heading2"/>
      </w:pPr>
      <w:r>
        <w:t xml:space="preserve">Strategic Recommendations</w:t>
      </w:r>
    </w:p>
    <w:p>
      <w:pPr>
        <w:pStyle w:val="FirstParagraph"/>
      </w:pPr>
      <w:r>
        <w:t xml:space="preserve">To capitalize on the Australia Sydney market opportunities identified in this Sales Report, we propose:</w:t>
      </w:r>
    </w:p>
    <w:p>
      <w:pPr>
        <w:numPr>
          <w:ilvl w:val="0"/>
          <w:numId w:val="1005"/>
        </w:numPr>
        <w:pStyle w:val="Compact"/>
      </w:pPr>
      <w:r>
        <w:rPr>
          <w:bCs/>
          <w:b/>
        </w:rPr>
        <w:t xml:space="preserve">Expand Wellness Clinics:</w:t>
      </w:r>
      <w:r>
        <w:t xml:space="preserve"> </w:t>
      </w:r>
      <w:r>
        <w:t xml:space="preserve">Open 3 new community health hubs across Western Sydney by Q2 2024, targeting underserved areas with high chronic disease prevalence.</w:t>
      </w:r>
    </w:p>
    <w:p>
      <w:pPr>
        <w:numPr>
          <w:ilvl w:val="0"/>
          <w:numId w:val="1005"/>
        </w:numPr>
        <w:pStyle w:val="Compact"/>
      </w:pPr>
      <w:r>
        <w:rPr>
          <w:bCs/>
          <w:b/>
        </w:rPr>
        <w:t xml:space="preserve">Local Sourcing Initiative:</w:t>
      </w:r>
      <w:r>
        <w:t xml:space="preserve"> </w:t>
      </w:r>
      <w:r>
        <w:t xml:space="preserve">Partner with 5 Australian wellness brands to create exclusive Chemist-branded products for the Australia Sydney market, enhancing local relevance.</w:t>
      </w:r>
    </w:p>
    <w:p>
      <w:pPr>
        <w:numPr>
          <w:ilvl w:val="0"/>
          <w:numId w:val="1005"/>
        </w:numPr>
        <w:pStyle w:val="Compact"/>
      </w:pPr>
      <w:r>
        <w:rPr>
          <w:bCs/>
          <w:b/>
        </w:rPr>
        <w:t xml:space="preserve">AI-Powered Inventory System:</w:t>
      </w:r>
      <w:r>
        <w:t xml:space="preserve"> </w:t>
      </w:r>
      <w:r>
        <w:t xml:space="preserve">Implement a region-specific forecasting tool for Australia Sydney locations to reduce stockouts by 22% and optimize OTC product mix.</w:t>
      </w:r>
    </w:p>
    <w:bookmarkEnd w:id="29"/>
    <w:bookmarkStart w:id="30" w:name="X10114c233a73404fd9570ff2c5afbb95cb5fb8a"/>
    <w:p>
      <w:pPr>
        <w:pStyle w:val="Heading2"/>
      </w:pPr>
      <w:r>
        <w:t xml:space="preserve">Conclusion: The Future of Chemist in Australia Sydney</w:t>
      </w:r>
    </w:p>
    <w:p>
      <w:pPr>
        <w:pStyle w:val="FirstParagraph"/>
      </w:pPr>
      <w:r>
        <w:t xml:space="preserve">This comprehensive Sales Report confirms that our Chemist business model is exceptionally well-positioned within the Australia Sydney healthcare ecosystem. The 7.3% revenue growth, coupled with market share expansion in high-value wellness categories, demonstrates our ability to adapt to Sydney's dynamic consumer needs. As we move into Q4 2023, we remain committed to delivering superior healthcare experiences through our locally-focused Chemist operations across Australia Sydney.</w:t>
      </w:r>
    </w:p>
    <w:p>
      <w:pPr>
        <w:pStyle w:val="BodyText"/>
      </w:pPr>
      <w:r>
        <w:t xml:space="preserve">With the NSW government's new Primary Healthcare Strategy emphasizing community pharmacy roles, our Australia Sydney Chemist network is poised to become the preferred health partner for over 1.8 million residents. This Sales Report not only documents past success but charts a clear course for sustained leadership in Australian pharmacy services – proving that when healthcare meets community, remarkable outcomes are achieved.</w:t>
      </w:r>
    </w:p>
    <w:p>
      <w:pPr>
        <w:pStyle w:val="BodyText"/>
      </w:pPr>
      <w:r>
        <w:rPr>
          <w:bCs/>
          <w:b/>
        </w:rPr>
        <w:t xml:space="preserve">Prepared by: National Pharmacy Analytics Team</w:t>
      </w:r>
    </w:p>
    <w:p>
      <w:pPr>
        <w:pStyle w:val="BodyText"/>
      </w:pPr>
      <w:r>
        <w:rPr>
          <w:bCs/>
          <w:b/>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Sydney Chemist Sales Report - Q3 2023</dc:title>
  <dc:creator/>
  <dc:language>en</dc:language>
  <cp:keywords/>
  <dcterms:created xsi:type="dcterms:W3CDTF">2026-07-20T23:54:12Z</dcterms:created>
  <dcterms:modified xsi:type="dcterms:W3CDTF">2026-07-20T23:54:12Z</dcterms:modified>
</cp:coreProperties>
</file>

<file path=docProps/custom.xml><?xml version="1.0" encoding="utf-8"?>
<Properties xmlns="http://schemas.openxmlformats.org/officeDocument/2006/custom-properties" xmlns:vt="http://schemas.openxmlformats.org/officeDocument/2006/docPropsVTypes"/>
</file>