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Toronto</w:t>
      </w:r>
      <w:r>
        <w:t xml:space="preserve"> </w:t>
      </w:r>
      <w:r>
        <w:t xml:space="preserve">Chemist</w:t>
      </w:r>
      <w:r>
        <w:t xml:space="preserve"> </w:t>
      </w:r>
      <w:r>
        <w:t xml:space="preserve">Operations</w:t>
      </w:r>
      <w:r>
        <w:t xml:space="preserve"> </w:t>
      </w:r>
      <w:r>
        <w:t xml:space="preserve">-</w:t>
      </w:r>
      <w:r>
        <w:t xml:space="preserve"> </w:t>
      </w:r>
      <w:r>
        <w:t xml:space="preserve">Canada</w:t>
      </w:r>
    </w:p>
    <w:bookmarkStart w:id="26" w:name="X5df880b0fefe1b52c2b4e0bb5a22e28a238940c"/>
    <w:p>
      <w:pPr>
        <w:pStyle w:val="Heading1"/>
      </w:pPr>
      <w:r>
        <w:t xml:space="preserve">Comprehensive Annual Sales Report: Toronto Chemist Operations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Retail Operations</w:t>
      </w:r>
      <w:r>
        <w:br/>
      </w:r>
      <w:r>
        <w:rPr>
          <w:bCs/>
          <w:b/>
        </w:rPr>
        <w:t xml:space="preserve">Period Covered: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of our retail Chemist operations across the Greater Toronto Area (GTA) during calendar year 2023. As a leading provider of pharmaceutical, healthcare, and wellness solutions within Canada Toronto, our network demonstrated significant growth and resilience amid evolving market dynamics. Total sales for the year reached</w:t>
      </w:r>
      <w:r>
        <w:t xml:space="preserve"> </w:t>
      </w:r>
      <w:r>
        <w:rPr>
          <w:bCs/>
          <w:b/>
        </w:rPr>
        <w:t xml:space="preserve">$48.7 million CAD</w:t>
      </w:r>
      <w:r>
        <w:t xml:space="preserve">, representing a 12.3% increase over 2022 ($43.4 million). This growth outperformed both the national pharmacy retail sector average (5.1%) and our own GTA-specific benchmark (8.7%). The success is attributed to strategic inventory optimization, enhanced patient engagement initiatives, and responsive adaptation to Toronto's unique healthcare needs.</w:t>
      </w:r>
    </w:p>
    <w:bookmarkEnd w:id="20"/>
    <w:bookmarkStart w:id="21" w:name="key-performance-indicators"/>
    <w:p>
      <w:pPr>
        <w:pStyle w:val="Heading2"/>
      </w:pPr>
      <w:r>
        <w:t xml:space="preserve">Key Performance Indicators</w:t>
      </w:r>
    </w:p>
    <w:p>
      <w:pPr>
        <w:pStyle w:val="FirstParagraph"/>
      </w:pPr>
      <w:r>
        <w:t xml:space="preserve">KPI</w:t>
      </w:r>
    </w:p>
    <w:p>
      <w:pPr>
        <w:pStyle w:val="BodyText"/>
      </w:pPr>
      <w:r>
        <w:t xml:space="preserve">2023 Actual (CAD)</w:t>
      </w:r>
    </w:p>
    <w:p>
      <w:pPr>
        <w:pStyle w:val="BodyText"/>
      </w:pPr>
      <w:r>
        <w:t xml:space="preserve">2022 Actual (CAD)</w:t>
      </w:r>
    </w:p>
    <w:p>
      <w:pPr>
        <w:pStyle w:val="BodyText"/>
      </w:pPr>
      <w:r>
        <w:t xml:space="preserve">% Change</w:t>
      </w:r>
    </w:p>
    <w:p>
      <w:pPr>
        <w:pStyle w:val="BodyText"/>
      </w:pPr>
      <w:r>
        <w:t xml:space="preserve">Total Sales Revenue</w:t>
      </w:r>
    </w:p>
    <w:p>
      <w:pPr>
        <w:pStyle w:val="BodyText"/>
      </w:pPr>
      <w:r>
        <w:t xml:space="preserve">$48,700,000</w:t>
      </w:r>
    </w:p>
    <w:p>
      <w:pPr>
        <w:pStyle w:val="BodyText"/>
      </w:pPr>
      <w:r>
        <w:t xml:space="preserve">$43,451,237</w:t>
      </w:r>
    </w:p>
    <w:p>
      <w:pPr>
        <w:pStyle w:val="BodyText"/>
      </w:pPr>
      <w:r>
        <w:t xml:space="preserve">+12.3%</w:t>
      </w:r>
    </w:p>
    <w:p>
      <w:pPr>
        <w:pStyle w:val="BodyText"/>
      </w:pPr>
      <w:r>
        <w:t xml:space="preserve">Prescription Sales (Pharmaceutical)</w:t>
      </w:r>
    </w:p>
    <w:p>
      <w:pPr>
        <w:pStyle w:val="BodyText"/>
      </w:pPr>
      <w:r>
        <w:t xml:space="preserve">$29,856,401</w:t>
      </w:r>
    </w:p>
    <w:p>
      <w:pPr>
        <w:pStyle w:val="BodyText"/>
      </w:pPr>
      <w:r>
        <w:t xml:space="preserve">$27,105,890</w:t>
      </w:r>
    </w:p>
    <w:p>
      <w:pPr>
        <w:pStyle w:val="BodyText"/>
      </w:pPr>
      <w:r>
        <w:t xml:space="preserve">+10.2%</w:t>
      </w:r>
    </w:p>
    <w:p>
      <w:pPr>
        <w:pStyle w:val="BodyText"/>
      </w:pPr>
      <w:r>
        <w:t xml:space="preserve">Over-the-Counter (OTC) &amp; Wellness Products</w:t>
      </w:r>
    </w:p>
    <w:p>
      <w:pPr>
        <w:pStyle w:val="BodyText"/>
      </w:pPr>
      <w:r>
        <w:t xml:space="preserve">$14,327,856</w:t>
      </w:r>
    </w:p>
    <w:p>
      <w:pPr>
        <w:pStyle w:val="BodyText"/>
      </w:pPr>
      <w:r>
        <w:t xml:space="preserve">$12,867,433</w:t>
      </w:r>
    </w:p>
    <w:p>
      <w:pPr>
        <w:pStyle w:val="BodyText"/>
      </w:pPr>
      <w:r>
        <w:t xml:space="preserve">+11.4%</w:t>
      </w:r>
    </w:p>
    <w:p>
      <w:pPr>
        <w:pStyle w:val="BodyText"/>
      </w:pPr>
      <w:r>
        <w:t xml:space="preserve">Personal Care &amp; Beauty (Including Canadian Brands)</w:t>
      </w:r>
    </w:p>
    <w:p>
      <w:pPr>
        <w:pStyle w:val="BodyText"/>
      </w:pPr>
      <w:r>
        <w:t xml:space="preserve">$4,509,274</w:t>
      </w:r>
    </w:p>
    <w:p>
      <w:pPr>
        <w:pStyle w:val="BodyText"/>
      </w:pPr>
      <w:r>
        <w:t xml:space="preserve">&lt;</w:t>
      </w:r>
    </w:p>
    <w:p>
      <w:pPr>
        <w:pStyle w:val="BodyText"/>
      </w:pPr>
      <w:r>
        <w:t xml:space="preserve">$3,925,601</w:t>
      </w:r>
    </w:p>
    <w:p>
      <w:pPr>
        <w:pStyle w:val="BodyText"/>
      </w:pPr>
      <w:r>
        <w:t xml:space="preserve">+14.8%</w:t>
      </w:r>
    </w:p>
    <w:p>
      <w:pPr>
        <w:pStyle w:val="BodyText"/>
      </w:pPr>
      <w:r>
        <w:t xml:space="preserve">Average Transaction Value (ATV)</w:t>
      </w:r>
    </w:p>
    <w:p>
      <w:pPr>
        <w:pStyle w:val="BodyText"/>
      </w:pPr>
      <w:r>
        <w:t xml:space="preserve">$38.75</w:t>
      </w:r>
    </w:p>
    <w:p>
      <w:pPr>
        <w:pStyle w:val="BodyText"/>
      </w:pPr>
      <w:r>
        <w:t xml:space="preserve">$36.20</w:t>
      </w:r>
    </w:p>
    <w:p>
      <w:pPr>
        <w:pStyle w:val="BodyText"/>
      </w:pPr>
      <w:r>
        <w:t xml:space="preserve">+7.0%</w:t>
      </w:r>
    </w:p>
    <w:bookmarkEnd w:id="21"/>
    <w:bookmarkStart w:id="22" w:name="X54e001ffa0273a5d246407ef718b9e59d18a882"/>
    <w:p>
      <w:pPr>
        <w:pStyle w:val="Heading2"/>
      </w:pPr>
      <w:r>
        <w:t xml:space="preserve">Toronto Market Analysis: Chemist Operations Performance</w:t>
      </w:r>
    </w:p>
    <w:p>
      <w:pPr>
        <w:pStyle w:val="FirstParagraph"/>
      </w:pPr>
      <w:r>
        <w:t xml:space="preserve">The Toronto market remains the most dynamic and competitive pharmacy hub in Canada, serving a population exceeding 6.7 million residents across diverse neighborhoods (downtown cores, suburban communities, and multicultural enclaves). Our Chemist locations strategically positioned within key Toronto districts (e.g., Downtown Core, Scarborough East, Etobicoke West) captured significant market share due to localized service models and cultural competence.</w:t>
      </w:r>
    </w:p>
    <w:p>
      <w:pPr>
        <w:pStyle w:val="BodyText"/>
      </w:pPr>
      <w:r>
        <w:rPr>
          <w:bCs/>
          <w:b/>
        </w:rPr>
        <w:t xml:space="preserve">Prescription Volume Growth:</w:t>
      </w:r>
      <w:r>
        <w:t xml:space="preserve"> </w:t>
      </w:r>
      <w:r>
        <w:t xml:space="preserve">The 10.2% increase in prescription sales was driven by robust management of chronic conditions prevalent in Toronto's aging population (e.g., diabetes, hypertension). Our Chemist teams implemented enhanced medication therapy management (MTM) programs, resulting in a 15% rise in patient adherence rates and strong partnerships with local primary care clinics across Canada.</w:t>
      </w:r>
    </w:p>
    <w:p>
      <w:pPr>
        <w:pStyle w:val="BodyText"/>
      </w:pPr>
      <w:r>
        <w:rPr>
          <w:bCs/>
          <w:b/>
        </w:rPr>
        <w:t xml:space="preserve">OTC &amp; Wellness Surge:</w:t>
      </w:r>
      <w:r>
        <w:t xml:space="preserve"> </w:t>
      </w:r>
      <w:r>
        <w:t xml:space="preserve">The 11.4% growth in OTC sales reflects Toronto residents' heightened focus on preventative health. Demand for Canadian-made products (e.g., Nature's Own, Green Shield) surged by 22%, aligning with local consumer preference for domestic brands. Winter flu season (October-February) saw a 37% spike in vaccine sales at our Toronto Chemist locations, significantly outperforming regional averages.</w:t>
      </w:r>
    </w:p>
    <w:p>
      <w:pPr>
        <w:pStyle w:val="BodyText"/>
      </w:pPr>
      <w:r>
        <w:rPr>
          <w:bCs/>
          <w:b/>
        </w:rPr>
        <w:t xml:space="preserve">Personal Care &amp; Beauty Expansion:</w:t>
      </w:r>
      <w:r>
        <w:t xml:space="preserve"> </w:t>
      </w:r>
      <w:r>
        <w:t xml:space="preserve">The 14.8% growth here is directly linked to strategic partnerships with emerging Canadian beauty brands and tailored service offerings for Toronto's multicultural demographics. Our chemists now provide personalized skincare consultations reflecting Toronto's diverse ethnic skin needs, a key differentiator in Canada.</w:t>
      </w:r>
    </w:p>
    <w:bookmarkEnd w:id="22"/>
    <w:bookmarkStart w:id="23" w:name="Xda9b2199fa3cb3356fff2fa0e87893828baf0c9"/>
    <w:p>
      <w:pPr>
        <w:pStyle w:val="Heading2"/>
      </w:pPr>
      <w:r>
        <w:t xml:space="preserve">Challenges &amp; Strategic Responses (Canada Toronto Context)</w:t>
      </w:r>
    </w:p>
    <w:p>
      <w:pPr>
        <w:pStyle w:val="FirstParagraph"/>
      </w:pPr>
      <w:r>
        <w:t xml:space="preserve">The year presented notable challenges specific to the Canadian healthcare landscape and Toronto's density:</w:t>
      </w:r>
    </w:p>
    <w:p>
      <w:pPr>
        <w:numPr>
          <w:ilvl w:val="0"/>
          <w:numId w:val="1001"/>
        </w:numPr>
        <w:pStyle w:val="Compact"/>
      </w:pPr>
      <w:r>
        <w:rPr>
          <w:bCs/>
          <w:b/>
        </w:rPr>
        <w:t xml:space="preserve">Supply Chain Disruptions (Q1 2023):</w:t>
      </w:r>
      <w:r>
        <w:t xml:space="preserve"> </w:t>
      </w:r>
      <w:r>
        <w:t xml:space="preserve">Global pharmaceutical shortages impacted common OTC items. Our Toronto Chemist network mitigated this by activating a cross-branch inventory redistribution system, prioritizing high-demand products based on real-time local data analytics.</w:t>
      </w:r>
    </w:p>
    <w:p>
      <w:pPr>
        <w:numPr>
          <w:ilvl w:val="0"/>
          <w:numId w:val="1001"/>
        </w:numPr>
        <w:pStyle w:val="Compact"/>
      </w:pPr>
      <w:r>
        <w:rPr>
          <w:bCs/>
          <w:b/>
        </w:rPr>
        <w:t xml:space="preserve">Pricing Pressure from PMPRB:</w:t>
      </w:r>
      <w:r>
        <w:t xml:space="preserve"> </w:t>
      </w:r>
      <w:r>
        <w:t xml:space="preserve">The Patented Medicines Prices Review Board (PMPRB) mandated price reductions on key drugs. Our Toronto Chemist locations offset this through increased service revenue (e.g., immunization clinics, health screenings), growing service income by 9.2%.</w:t>
      </w:r>
    </w:p>
    <w:p>
      <w:pPr>
        <w:numPr>
          <w:ilvl w:val="0"/>
          <w:numId w:val="1001"/>
        </w:numPr>
        <w:pStyle w:val="Compact"/>
      </w:pPr>
      <w:r>
        <w:rPr>
          <w:bCs/>
          <w:b/>
        </w:rPr>
        <w:t xml:space="preserve">Toronto Competition Intensification:</w:t>
      </w:r>
      <w:r>
        <w:t xml:space="preserve"> </w:t>
      </w:r>
      <w:r>
        <w:t xml:space="preserve">New retail pharmacy entries in high-density areas like East York required tactical responses. We deployed hyper-localized marketing campaigns and expanded walk-in clinic hours at our Toronto Chemist stores, boosting foot traffic by 18% in competitive zones.</w:t>
      </w:r>
    </w:p>
    <w:bookmarkEnd w:id="23"/>
    <w:bookmarkStart w:id="24" w:name="future-outlook-strategic-initiatives"/>
    <w:p>
      <w:pPr>
        <w:pStyle w:val="Heading2"/>
      </w:pPr>
      <w:r>
        <w:t xml:space="preserve">Future Outlook &amp; Strategic Initiatives</w:t>
      </w:r>
    </w:p>
    <w:p>
      <w:pPr>
        <w:pStyle w:val="FirstParagraph"/>
      </w:pPr>
      <w:r>
        <w:t xml:space="preserve">Building on the strong foundation established during this Sales Report period, our Toronto Chemist operations will focus on three pillars for 2024:</w:t>
      </w:r>
    </w:p>
    <w:p>
      <w:pPr>
        <w:numPr>
          <w:ilvl w:val="0"/>
          <w:numId w:val="1002"/>
        </w:numPr>
        <w:pStyle w:val="Compact"/>
      </w:pPr>
      <w:r>
        <w:rPr>
          <w:bCs/>
          <w:b/>
        </w:rPr>
        <w:t xml:space="preserve">Digital Health Integration:</w:t>
      </w:r>
      <w:r>
        <w:t xml:space="preserve"> </w:t>
      </w:r>
      <w:r>
        <w:t xml:space="preserve">Launching a Canada-specific telehealth portal integrated with our Toronto Chemist locations to offer virtual consultations and prescription refills, addressing the critical need for accessible healthcare in dense urban settings like Toronto.</w:t>
      </w:r>
    </w:p>
    <w:p>
      <w:pPr>
        <w:numPr>
          <w:ilvl w:val="0"/>
          <w:numId w:val="1002"/>
        </w:numPr>
        <w:pStyle w:val="Compact"/>
      </w:pPr>
      <w:r>
        <w:rPr>
          <w:bCs/>
          <w:b/>
        </w:rPr>
        <w:t xml:space="preserve">Community Wellness Hubs:</w:t>
      </w:r>
      <w:r>
        <w:t xml:space="preserve"> </w:t>
      </w:r>
      <w:r>
        <w:t xml:space="preserve">Transforming select Toronto Chemist stores into comprehensive community health centers offering free blood pressure checks, nutrition counseling, and mental health support—aligning with Ontario’s public health strategy.</w:t>
      </w:r>
    </w:p>
    <w:p>
      <w:pPr>
        <w:numPr>
          <w:ilvl w:val="0"/>
          <w:numId w:val="1002"/>
        </w:numPr>
        <w:pStyle w:val="Compact"/>
      </w:pPr>
      <w:r>
        <w:rPr>
          <w:bCs/>
          <w:b/>
        </w:rPr>
        <w:t xml:space="preserve">Local Sourcing Acceleration:</w:t>
      </w:r>
      <w:r>
        <w:t xml:space="preserve"> </w:t>
      </w:r>
      <w:r>
        <w:t xml:space="preserve">Increasing procurement of Canadian-made wellness products by 30% to strengthen ties with local producers and meet Toronto consumer demand for domestic goods.</w:t>
      </w:r>
    </w:p>
    <w:bookmarkEnd w:id="24"/>
    <w:bookmarkStart w:id="25" w:name="conclusion"/>
    <w:p>
      <w:pPr>
        <w:pStyle w:val="Heading2"/>
      </w:pPr>
      <w:r>
        <w:t xml:space="preserve">Conclusion</w:t>
      </w:r>
    </w:p>
    <w:p>
      <w:pPr>
        <w:pStyle w:val="FirstParagraph"/>
      </w:pPr>
      <w:r>
        <w:t xml:space="preserve">This Annual Sales Report underscores the vital role of the Toronto Chemist network within Canada’s healthcare ecosystem. Our operations have not only achieved substantial revenue growth but have also significantly enhanced community health outcomes across Greater Toronto. The strategic focus on patient-centered services, local partnerships, and responsive adaptation to Canadian regulatory frameworks has solidified our position as a trusted provider in this critical market.</w:t>
      </w:r>
    </w:p>
    <w:p>
      <w:pPr>
        <w:pStyle w:val="BodyText"/>
      </w:pPr>
      <w:r>
        <w:t xml:space="preserve">As we move into 2024, the continued success of our Chemist locations will remain paramount to the broader Canadian operations. The Toronto market’s unique demands—driven by its size, diversity, and healthcare complexity—demand sustained innovation. This report confirms that our current strategy effectively meets these demands while delivering robust financial performance. We are confident that strategic investments in digital services, community health integration, and local partnerships will further elevate the value of our Chemist network across Canada Toronto.</w:t>
      </w:r>
    </w:p>
    <w:p>
      <w:pPr>
        <w:pStyle w:val="BodyText"/>
      </w:pPr>
      <w:r>
        <w:rPr>
          <w:iCs/>
          <w:i/>
        </w:rPr>
        <w:t xml:space="preserve">Note: All figures represent consolidated sales data from 28 Chemist locations operating within the Toronto Census Metropolitan Area (CMA). Data sources include internal POS systems, Ontario Ministry of Health reports (2023), and Canadian Pharmacist Association market analyses. This document is prepared for internal strategic planning purposes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Toronto Chemist Operations - Canada</dc:title>
  <dc:creator/>
  <dc:language>en</dc:language>
  <cp:keywords/>
  <dcterms:created xsi:type="dcterms:W3CDTF">2025-12-11T00:53:42Z</dcterms:created>
  <dcterms:modified xsi:type="dcterms:W3CDTF">2025-12-11T00:53:42Z</dcterms:modified>
</cp:coreProperties>
</file>

<file path=docProps/custom.xml><?xml version="1.0" encoding="utf-8"?>
<Properties xmlns="http://schemas.openxmlformats.org/officeDocument/2006/custom-properties" xmlns:vt="http://schemas.openxmlformats.org/officeDocument/2006/docPropsVTypes"/>
</file>