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Vancouver</w:t>
      </w:r>
      <w:r>
        <w:t xml:space="preserve"> </w:t>
      </w:r>
      <w:r>
        <w:t xml:space="preserve">Chemist</w:t>
      </w:r>
      <w:r>
        <w:t xml:space="preserve"> </w:t>
      </w:r>
      <w:r>
        <w:t xml:space="preserve">Pharmacy</w:t>
      </w:r>
    </w:p>
    <w:bookmarkStart w:id="29" w:name="X914fbda39c37269e326951275661992beb7fc68"/>
    <w:p>
      <w:pPr>
        <w:pStyle w:val="Heading1"/>
      </w:pPr>
      <w:r>
        <w:t xml:space="preserve">Quarterly Sales Report - Vancouver Chemist Pharmacy</w:t>
      </w:r>
    </w:p>
    <w:p>
      <w:pPr>
        <w:pStyle w:val="FirstParagraph"/>
      </w:pPr>
      <w:r>
        <w:t xml:space="preserve">Prepared for Canada Vancouver Market • Q3 2023 (July 1 - September 30) • Confidential</w:t>
      </w:r>
    </w:p>
    <w:bookmarkStart w:id="20" w:name="executive-summary"/>
    <w:p>
      <w:pPr>
        <w:pStyle w:val="Heading2"/>
      </w:pPr>
      <w:r>
        <w:t xml:space="preserve">Executive Summary</w:t>
      </w:r>
    </w:p>
    <w:p>
      <w:pPr>
        <w:pStyle w:val="FirstParagraph"/>
      </w:pPr>
      <w:r>
        <w:t xml:space="preserve">This comprehensive Sales Report details the performance of Vancouver Chemist Pharmacy across all service lines during Q3 2023. Located at 1250 Robson Street, Vancouver, this independent pharmacy has maintained strong market position within Canada's competitive pharmaceutical landscape. The quarter demonstrated robust growth (+14.7% year-over-year) driven by strategic inventory management and community-focused services, solidifying our reputation as a trusted healthcare partner in the Greater Vancouver area. This report adheres to Canadian pharmaceutical standards while addressing unique Vancouver consumer needs.</w:t>
      </w:r>
    </w:p>
    <w:bookmarkEnd w:id="20"/>
    <w:bookmarkStart w:id="21" w:name="key-performance-metrics"/>
    <w:p>
      <w:pPr>
        <w:pStyle w:val="Heading2"/>
      </w:pPr>
      <w:r>
        <w:t xml:space="preserve">Key Performance Metrics</w:t>
      </w:r>
    </w:p>
    <w:p>
      <w:pPr>
        <w:pStyle w:val="FirstParagraph"/>
      </w:pPr>
      <w:r>
        <w:t xml:space="preserve">The following table outlines critical sales indicators for the Vancouver Chemist location: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Q3 2023 (CAD)</w:t>
            </w:r>
          </w:p>
        </w:tc>
        <w:tc>
          <w:tcPr/>
          <w:p>
            <w:pPr>
              <w:pStyle w:val="Compact"/>
              <w:jc w:val="left"/>
            </w:pPr>
            <w:r>
              <w:t xml:space="preserve">Q3 2022 (CAD)</w:t>
            </w:r>
          </w:p>
        </w:tc>
        <w:tc>
          <w:tcPr/>
          <w:p>
            <w:pPr>
              <w:pStyle w:val="Compact"/>
              <w:jc w:val="left"/>
            </w:pPr>
            <w:r>
              <w:t xml:space="preserve">% Change</w:t>
            </w:r>
          </w:p>
        </w:tc>
        <w:tc>
          <w:tcPr/>
          <w:p>
            <w:pPr>
              <w:pStyle w:val="Compact"/>
              <w:jc w:val="left"/>
            </w:pPr>
            <w:r>
              <w:t xml:space="preserve">Market Benchmark (BC Avg.)</w:t>
            </w:r>
          </w:p>
        </w:tc>
      </w:tr>
      <w:tr>
        <w:tc>
          <w:tcPr/>
          <w:p>
            <w:pPr>
              <w:pStyle w:val="Compact"/>
              <w:jc w:val="left"/>
            </w:pPr>
            <w:r>
              <w:t xml:space="preserve">Total Sales Revenue</w:t>
            </w:r>
          </w:p>
        </w:tc>
        <w:tc>
          <w:tcPr/>
          <w:p>
            <w:pPr>
              <w:pStyle w:val="Compact"/>
              <w:jc w:val="left"/>
            </w:pPr>
            <w:r>
              <w:t xml:space="preserve">$1,485,200</w:t>
            </w:r>
          </w:p>
        </w:tc>
        <w:tc>
          <w:tcPr/>
          <w:p>
            <w:pPr>
              <w:pStyle w:val="Compact"/>
              <w:jc w:val="left"/>
            </w:pPr>
            <w:r>
              <w:t xml:space="preserve">$1,294,700</w:t>
            </w:r>
          </w:p>
        </w:tc>
        <w:tc>
          <w:tcPr/>
          <w:p>
            <w:pPr>
              <w:pStyle w:val="Compact"/>
              <w:jc w:val="left"/>
            </w:pPr>
            <w:r>
              <w:t xml:space="preserve">+14.7%</w:t>
            </w:r>
          </w:p>
        </w:tc>
        <w:tc>
          <w:tcPr/>
          <w:p>
            <w:pPr>
              <w:pStyle w:val="Compact"/>
              <w:jc w:val="left"/>
            </w:pPr>
            <w:r>
              <w:t xml:space="preserve">+6.2%</w:t>
            </w:r>
          </w:p>
        </w:tc>
      </w:tr>
      <w:tr>
        <w:tc>
          <w:tcPr/>
          <w:p>
            <w:pPr>
              <w:pStyle w:val="Compact"/>
              <w:jc w:val="left"/>
            </w:pPr>
            <w:r>
              <w:t xml:space="preserve">Pharmaceutical Sales</w:t>
            </w:r>
          </w:p>
        </w:tc>
        <w:tc>
          <w:tcPr/>
          <w:p>
            <w:pPr>
              <w:pStyle w:val="Compact"/>
              <w:jc w:val="left"/>
            </w:pPr>
            <w:r>
              <w:t xml:space="preserve">$987,500</w:t>
            </w:r>
          </w:p>
        </w:tc>
        <w:tc>
          <w:tcPr/>
          <w:p>
            <w:pPr>
              <w:pStyle w:val="Compact"/>
              <w:jc w:val="left"/>
            </w:pPr>
            <w:r>
              <w:t xml:space="preserve">$852,100</w:t>
            </w:r>
          </w:p>
        </w:tc>
        <w:tc>
          <w:tcPr/>
          <w:p>
            <w:pPr>
              <w:pStyle w:val="Compact"/>
              <w:jc w:val="left"/>
            </w:pPr>
            <w:r>
              <w:t xml:space="preserve">+15.9%</w:t>
            </w:r>
          </w:p>
        </w:tc>
        <w:tc>
          <w:tcPr/>
          <w:p>
            <w:pPr>
              <w:pStyle w:val="Compact"/>
              <w:jc w:val="left"/>
            </w:pPr>
            <w:r>
              <w:t xml:space="preserve">+4.8%</w:t>
            </w:r>
          </w:p>
        </w:tc>
      </w:tr>
      <w:tr>
        <w:tc>
          <w:tcPr/>
          <w:p>
            <w:pPr>
              <w:pStyle w:val="Compact"/>
              <w:jc w:val="left"/>
            </w:pPr>
            <w:r>
              <w:t xml:space="preserve">Over-the-Counter (OTC) Products</w:t>
            </w:r>
          </w:p>
        </w:tc>
        <w:tc>
          <w:tcPr/>
          <w:p>
            <w:pPr>
              <w:pStyle w:val="Compact"/>
              <w:jc w:val="left"/>
            </w:pPr>
            <w:r>
              <w:t xml:space="preserve">$324,800</w:t>
            </w:r>
          </w:p>
        </w:tc>
        <w:tc>
          <w:tcPr/>
          <w:p>
            <w:pPr>
              <w:pStyle w:val="Compact"/>
              <w:jc w:val="left"/>
            </w:pPr>
            <w:r>
              <w:t xml:space="preserve">$276,300</w:t>
            </w:r>
          </w:p>
        </w:tc>
        <w:tc>
          <w:tcPr/>
          <w:p>
            <w:pPr>
              <w:pStyle w:val="Compact"/>
              <w:jc w:val="left"/>
            </w:pPr>
            <w:r>
              <w:t xml:space="preserve">+17.5%</w:t>
            </w:r>
          </w:p>
        </w:tc>
        <w:tc>
          <w:tcPr/>
          <w:p>
            <w:pPr>
              <w:pStyle w:val="Compact"/>
              <w:jc w:val="left"/>
            </w:pPr>
            <w:r>
              <w:t xml:space="preserve">+8.1%</w:t>
            </w:r>
          </w:p>
        </w:tc>
      </w:tr>
      <w:tr>
        <w:tc>
          <w:tcPr/>
          <w:p>
            <w:pPr>
              <w:pStyle w:val="Compact"/>
              <w:jc w:val="left"/>
            </w:pPr>
            <w:r>
              <w:t xml:space="preserve">Personal Care &amp; Wellness</w:t>
            </w:r>
          </w:p>
        </w:tc>
        <w:tc>
          <w:tcPr/>
          <w:p>
            <w:pPr>
              <w:pStyle w:val="Compact"/>
              <w:jc w:val="left"/>
            </w:pPr>
            <w:r>
              <w:t xml:space="preserve">$134,900</w:t>
            </w:r>
          </w:p>
        </w:tc>
        <w:tc>
          <w:tcPr/>
          <w:p>
            <w:pPr>
              <w:pStyle w:val="Compact"/>
              <w:jc w:val="left"/>
            </w:pPr>
            <w:r>
              <w:t xml:space="preserve">$126,400</w:t>
            </w:r>
          </w:p>
        </w:tc>
        <w:tc>
          <w:tcPr/>
          <w:p>
            <w:pPr>
              <w:pStyle w:val="Compact"/>
              <w:jc w:val="left"/>
            </w:pPr>
            <w:r>
              <w:t xml:space="preserve">+6.7%</w:t>
            </w:r>
          </w:p>
        </w:tc>
        <w:tc>
          <w:tcPr/>
          <w:p>
            <w:pPr>
              <w:pStyle w:val="Compact"/>
              <w:jc w:val="left"/>
            </w:pPr>
            <w:r>
              <w:t xml:space="preserve">+3.5%</w:t>
            </w:r>
          </w:p>
        </w:tc>
      </w:tr>
      <w:tr>
        <w:tc>
          <w:tcPr/>
          <w:p>
            <w:pPr>
              <w:pStyle w:val="Compact"/>
              <w:jc w:val="left"/>
            </w:pPr>
            <w:r>
              <w:t xml:space="preserve">Health &amp; Wellness Services</w:t>
            </w:r>
          </w:p>
        </w:tc>
        <w:tc>
          <w:tcPr/>
          <w:p>
            <w:pPr>
              <w:pStyle w:val="Compact"/>
              <w:jc w:val="left"/>
            </w:pPr>
            <w:r>
              <w:t xml:space="preserve">$38,000</w:t>
            </w:r>
          </w:p>
        </w:tc>
        <w:tc>
          <w:tcPr/>
          <w:p>
            <w:pPr>
              <w:pStyle w:val="Compact"/>
              <w:jc w:val="left"/>
            </w:pPr>
            <w:r>
              <w:t xml:space="preserve">$32,900</w:t>
            </w:r>
          </w:p>
        </w:tc>
        <w:tc>
          <w:tcPr/>
          <w:p>
            <w:pPr>
              <w:pStyle w:val="Compact"/>
              <w:jc w:val="left"/>
            </w:pPr>
            <w:r>
              <w:t xml:space="preserve">+15.5%</w:t>
            </w:r>
          </w:p>
        </w:tc>
        <w:tc>
          <w:tcPr/>
          <w:p>
            <w:pPr>
              <w:pStyle w:val="Compact"/>
              <w:jc w:val="left"/>
            </w:pPr>
            <w:r>
              <w:t xml:space="preserve">+7.8%</w:t>
            </w:r>
          </w:p>
        </w:tc>
      </w:tr>
    </w:tbl>
    <w:p>
      <w:pPr>
        <w:pStyle w:val="BodyText"/>
      </w:pPr>
      <w:r>
        <w:rPr>
          <w:bCs/>
          <w:b/>
        </w:rPr>
        <w:t xml:space="preserve">Notable Achievement:</w:t>
      </w:r>
      <w:r>
        <w:t xml:space="preserve"> </w:t>
      </w:r>
      <w:r>
        <w:t xml:space="preserve">Vancouver Chemist exceeded provincial benchmarks in all categories, particularly in OTC products (+9.4% above BC average), reflecting our deep community integration and responsive inventory strategy. Our 14.7% overall growth significantly outperforms the Canada-wide pharmacy industry average of 6.2% for Q3 2023.</w:t>
      </w:r>
    </w:p>
    <w:bookmarkEnd w:id="21"/>
    <w:bookmarkStart w:id="25" w:name="X7511f4272f32e6bd81d8d65e2d748733c5ce74e"/>
    <w:p>
      <w:pPr>
        <w:pStyle w:val="Heading2"/>
      </w:pPr>
      <w:r>
        <w:t xml:space="preserve">Product Category Analysis: Vancouver Market Insights</w:t>
      </w:r>
    </w:p>
    <w:bookmarkStart w:id="22" w:name="pharmaceuticals-driving-core-revenue"/>
    <w:p>
      <w:pPr>
        <w:pStyle w:val="Heading3"/>
      </w:pPr>
      <w:r>
        <w:t xml:space="preserve">Pharmaceuticals: Driving Core Revenue</w:t>
      </w:r>
    </w:p>
    <w:p>
      <w:pPr>
        <w:pStyle w:val="FirstParagraph"/>
      </w:pPr>
      <w:r>
        <w:t xml:space="preserve">Prescription sales increased by 15.9% due to two strategic initiatives implemented in Vancouver: (1) targeted outreach to elderly residents in the Downtown Eastside through our partnership with local community health centers, and (2) expanded immunization services for seasonal influenza and travel vaccines. The top three prescription categories reflected Vancouver-specific health patterns:</w:t>
      </w:r>
    </w:p>
    <w:p>
      <w:pPr>
        <w:numPr>
          <w:ilvl w:val="0"/>
          <w:numId w:val="1001"/>
        </w:numPr>
        <w:pStyle w:val="Compact"/>
      </w:pPr>
      <w:r>
        <w:rPr>
          <w:bCs/>
          <w:b/>
        </w:rPr>
        <w:t xml:space="preserve">Chronic Disease Management (38% of Rx sales):</w:t>
      </w:r>
      <w:r>
        <w:t xml:space="preserve"> </w:t>
      </w:r>
      <w:r>
        <w:t xml:space="preserve">Diabetes medications (+22.1%) saw surge following BC's new diabetes screening initiative in Vancouver community centers</w:t>
      </w:r>
    </w:p>
    <w:p>
      <w:pPr>
        <w:numPr>
          <w:ilvl w:val="0"/>
          <w:numId w:val="1001"/>
        </w:numPr>
        <w:pStyle w:val="Compact"/>
      </w:pPr>
      <w:r>
        <w:rPr>
          <w:bCs/>
          <w:b/>
        </w:rPr>
        <w:t xml:space="preserve">Pain Management (24% of Rx sales):</w:t>
      </w:r>
      <w:r>
        <w:t xml:space="preserve"> </w:t>
      </w:r>
      <w:r>
        <w:t xml:space="preserve">Non-opioid alternatives (+31.7%) gained traction amid Canada's federal opioid reduction strategy adoption in Vancouver</w:t>
      </w:r>
    </w:p>
    <w:p>
      <w:pPr>
        <w:numPr>
          <w:ilvl w:val="0"/>
          <w:numId w:val="1001"/>
        </w:numPr>
        <w:pStyle w:val="Compact"/>
      </w:pPr>
      <w:r>
        <w:rPr>
          <w:bCs/>
          <w:b/>
        </w:rPr>
        <w:t xml:space="preserve">Women's Health (18% of Rx sales):</w:t>
      </w:r>
      <w:r>
        <w:t xml:space="preserve"> </w:t>
      </w:r>
      <w:r>
        <w:t xml:space="preserve">Increased demand for menopause support products following Vancouver-specific health education workshops</w:t>
      </w:r>
    </w:p>
    <w:bookmarkEnd w:id="22"/>
    <w:bookmarkStart w:id="23" w:name="otc-products-meeting-community-needs"/>
    <w:p>
      <w:pPr>
        <w:pStyle w:val="Heading3"/>
      </w:pPr>
      <w:r>
        <w:t xml:space="preserve">OTC Products: Meeting Community Needs</w:t>
      </w:r>
    </w:p>
    <w:p>
      <w:pPr>
        <w:pStyle w:val="FirstParagraph"/>
      </w:pPr>
      <w:r>
        <w:t xml:space="preserve">The 17.5% growth in OTC sales directly responds to Vancouver's unique environment:</w:t>
      </w:r>
    </w:p>
    <w:p>
      <w:pPr>
        <w:numPr>
          <w:ilvl w:val="0"/>
          <w:numId w:val="1002"/>
        </w:numPr>
        <w:pStyle w:val="Compact"/>
      </w:pPr>
      <w:r>
        <w:rPr>
          <w:bCs/>
          <w:b/>
        </w:rPr>
        <w:t xml:space="preserve">Seasonal Allergies (28% of OTC):</w:t>
      </w:r>
      <w:r>
        <w:t xml:space="preserve"> </w:t>
      </w:r>
      <w:r>
        <w:t xml:space="preserve">+42.3% demand due to extended pollen season in Greater Vancouver climate</w:t>
      </w:r>
    </w:p>
    <w:p>
      <w:pPr>
        <w:numPr>
          <w:ilvl w:val="0"/>
          <w:numId w:val="1002"/>
        </w:numPr>
        <w:pStyle w:val="Compact"/>
      </w:pPr>
      <w:r>
        <w:rPr>
          <w:bCs/>
          <w:b/>
        </w:rPr>
        <w:t xml:space="preserve">Sun Care Products (19% of OTC):</w:t>
      </w:r>
      <w:r>
        <w:t xml:space="preserve"> </w:t>
      </w:r>
      <w:r>
        <w:t xml:space="preserve">+35.6% sales driven by Vancouver's summer UV index patterns and tourism influx</w:t>
      </w:r>
    </w:p>
    <w:p>
      <w:pPr>
        <w:numPr>
          <w:ilvl w:val="0"/>
          <w:numId w:val="1002"/>
        </w:numPr>
        <w:pStyle w:val="Compact"/>
      </w:pPr>
      <w:r>
        <w:rPr>
          <w:bCs/>
          <w:b/>
        </w:rPr>
        <w:t xml:space="preserve">Cold &amp; Flu Relief (24% of OTC):</w:t>
      </w:r>
      <w:r>
        <w:t xml:space="preserve"> </w:t>
      </w:r>
      <w:r>
        <w:t xml:space="preserve">+27.8% growth amid early respiratory virus season in coastal BC</w:t>
      </w:r>
    </w:p>
    <w:bookmarkEnd w:id="23"/>
    <w:bookmarkStart w:id="24" w:name="Xa7839cdff5674eb091467ff37c52966d7c5500e"/>
    <w:p>
      <w:pPr>
        <w:pStyle w:val="Heading3"/>
      </w:pPr>
      <w:r>
        <w:t xml:space="preserve">Wellness Services: Community Health Investment</w:t>
      </w:r>
    </w:p>
    <w:p>
      <w:pPr>
        <w:pStyle w:val="FirstParagraph"/>
      </w:pPr>
      <w:r>
        <w:t xml:space="preserve">The 15.5% increase in health services revenue stems from our Vancouver-specific programs:</w:t>
      </w:r>
    </w:p>
    <w:p>
      <w:pPr>
        <w:numPr>
          <w:ilvl w:val="0"/>
          <w:numId w:val="1003"/>
        </w:numPr>
        <w:pStyle w:val="Compact"/>
      </w:pPr>
      <w:r>
        <w:t xml:space="preserve">Free blood pressure clinics at the Downtown Eastside community hub (620 visits)</w:t>
      </w:r>
    </w:p>
    <w:p>
      <w:pPr>
        <w:numPr>
          <w:ilvl w:val="0"/>
          <w:numId w:val="1003"/>
        </w:numPr>
        <w:pStyle w:val="Compact"/>
      </w:pPr>
      <w:r>
        <w:t xml:space="preserve">Travel vaccination packages for tourists visiting Canada's West Coast</w:t>
      </w:r>
    </w:p>
    <w:p>
      <w:pPr>
        <w:numPr>
          <w:ilvl w:val="0"/>
          <w:numId w:val="1003"/>
        </w:numPr>
        <w:pStyle w:val="Compact"/>
      </w:pPr>
      <w:r>
        <w:t xml:space="preserve">Postpartum nutrition consultations with local midwifery partners</w:t>
      </w:r>
    </w:p>
    <w:bookmarkEnd w:id="24"/>
    <w:bookmarkEnd w:id="25"/>
    <w:bookmarkStart w:id="26" w:name="X7135ed2508c40733243c663c63b5696dde94442"/>
    <w:p>
      <w:pPr>
        <w:pStyle w:val="Heading2"/>
      </w:pPr>
      <w:r>
        <w:t xml:space="preserve">Vancouver-Specific Market Challenges &amp; Opportunities</w:t>
      </w:r>
    </w:p>
    <w:p>
      <w:pPr>
        <w:pStyle w:val="FirstParagraph"/>
      </w:pPr>
      <w:r>
        <w:t xml:space="preserve">As a leading Chemist in Canada Vancouver, we navigated unique regional challenges while capitalizing on emerging opportunities:</w:t>
      </w:r>
    </w:p>
    <w:p>
      <w:pPr>
        <w:pStyle w:val="BodyText"/>
      </w:pPr>
      <w:r>
        <w:rPr>
          <w:bCs/>
          <w:b/>
        </w:rPr>
        <w:t xml:space="preserve">Challenge: Supply Chain Volatility</w:t>
      </w:r>
      <w:r>
        <w:t xml:space="preserve"> </w:t>
      </w:r>
      <w:r>
        <w:t xml:space="preserve">- Rising costs for imported pharmaceuticals due to Pacific shipping delays (noted in 47% of Rx categories). Mitigation strategy: Partnered with Canadian distributors for critical medications, reducing stockouts by 63% versus Q2.</w:t>
      </w:r>
    </w:p>
    <w:p>
      <w:pPr>
        <w:pStyle w:val="BodyText"/>
      </w:pPr>
      <w:r>
        <w:rPr>
          <w:bCs/>
          <w:b/>
        </w:rPr>
        <w:t xml:space="preserve">Opportunity: Health Tourism</w:t>
      </w:r>
      <w:r>
        <w:t xml:space="preserve"> </w:t>
      </w:r>
      <w:r>
        <w:t xml:space="preserve">- Vancouver's status as a destination city (4.5M annual tourists) created demand for travel health services. Our "Vancouver Health Passport" package generated $18,200 in revenue, a 312% increase from Q2.</w:t>
      </w:r>
    </w:p>
    <w:p>
      <w:pPr>
        <w:pStyle w:val="BodyText"/>
      </w:pPr>
      <w:r>
        <w:t xml:space="preserve">Customer feedback consistently highlighted our Vancouver community commitment: 87% of respondents noted "trusted local chemist" as their primary reason for choosing Vancouver Chemist Pharmacy over chain competitors. This sentiment directly correlates with our participation in the City of Vancouver's "Healthy Neighbourhoods Initiative" since 2021.</w:t>
      </w:r>
    </w:p>
    <w:bookmarkEnd w:id="26"/>
    <w:bookmarkStart w:id="27" w:name="X77c7afff621e20115f23ef46b79f3b2303b298d"/>
    <w:p>
      <w:pPr>
        <w:pStyle w:val="Heading2"/>
      </w:pPr>
      <w:r>
        <w:t xml:space="preserve">Strategic Recommendations for Canada Vancouver Operations</w:t>
      </w:r>
    </w:p>
    <w:p>
      <w:pPr>
        <w:pStyle w:val="FirstParagraph"/>
      </w:pPr>
      <w:r>
        <w:t xml:space="preserve">Based on Q3 performance, we recommend three action items for the Vancouver Chemist location to sustain growth:</w:t>
      </w:r>
    </w:p>
    <w:p>
      <w:pPr>
        <w:numPr>
          <w:ilvl w:val="0"/>
          <w:numId w:val="1004"/>
        </w:numPr>
        <w:pStyle w:val="Compact"/>
      </w:pPr>
      <w:r>
        <w:rPr>
          <w:bCs/>
          <w:b/>
        </w:rPr>
        <w:t xml:space="preserve">Expand Telepharmacy Services:</w:t>
      </w:r>
      <w:r>
        <w:t xml:space="preserve"> </w:t>
      </w:r>
      <w:r>
        <w:t xml:space="preserve">Implement virtual consultations specifically for rural communities in the Lower Mainland (e.g., North Shore, Richmond) to address Canada's healthcare access gaps. Pilot program projected to generate $250,000 annually.</w:t>
      </w:r>
    </w:p>
    <w:p>
      <w:pPr>
        <w:numPr>
          <w:ilvl w:val="0"/>
          <w:numId w:val="1004"/>
        </w:numPr>
        <w:pStyle w:val="Compact"/>
      </w:pPr>
      <w:r>
        <w:rPr>
          <w:bCs/>
          <w:b/>
        </w:rPr>
        <w:t xml:space="preserve">Local Wellness Partnerships:</w:t>
      </w:r>
      <w:r>
        <w:t xml:space="preserve"> </w:t>
      </w:r>
      <w:r>
        <w:t xml:space="preserve">Co-develop Vancouver-specific products with BC-based wellness brands (e.g., herbal remedies using local botanicals), leveraging our chemist's credibility in the Canadian health market.</w:t>
      </w:r>
    </w:p>
    <w:p>
      <w:pPr>
        <w:numPr>
          <w:ilvl w:val="0"/>
          <w:numId w:val="1004"/>
        </w:numPr>
        <w:pStyle w:val="Compact"/>
      </w:pPr>
      <w:r>
        <w:rPr>
          <w:bCs/>
          <w:b/>
        </w:rPr>
        <w:t xml:space="preserve">Sustainability Initiative:</w:t>
      </w:r>
      <w:r>
        <w:t xml:space="preserve"> </w:t>
      </w:r>
      <w:r>
        <w:t xml:space="preserve">Launch "Green Pharmacy" program for Vancouver customers, offering discounts on refillable containers and eco-friendly packaging – addressing key Vancouver consumer values while reducing costs by 8.3%.</w:t>
      </w:r>
    </w:p>
    <w:p>
      <w:pPr>
        <w:pStyle w:val="FirstParagraph"/>
      </w:pPr>
      <w:r>
        <w:t xml:space="preserve">These strategies align with Health Canada's 2023 Sustainable Pharmacy Framework while targeting the distinct preferences of Canada's most progressive urban market.</w:t>
      </w:r>
    </w:p>
    <w:bookmarkEnd w:id="27"/>
    <w:bookmarkStart w:id="28" w:name="Xbdb3460a33c93423140eaa8e8632ffe6d5c4561"/>
    <w:p>
      <w:pPr>
        <w:pStyle w:val="Heading2"/>
      </w:pPr>
      <w:r>
        <w:t xml:space="preserve">Conclusion: Vancouver Chemist - Community Health Partner</w:t>
      </w:r>
    </w:p>
    <w:p>
      <w:pPr>
        <w:pStyle w:val="FirstParagraph"/>
      </w:pPr>
      <w:r>
        <w:t xml:space="preserve">The Q3 Sales Report demonstrates that Vancouver Chemist has successfully positioned itself as more than a pharmacy – we are an essential community health hub within Canada's most dynamic urban center. Our 14.7% revenue growth, exceeding both provincial benchmarks and national industry averages, validates our community-centric approach to serving the unique needs of Vancouver residents and visitors alike.</w:t>
      </w:r>
    </w:p>
    <w:p>
      <w:pPr>
        <w:pStyle w:val="BodyText"/>
      </w:pPr>
      <w:r>
        <w:t xml:space="preserve">As Canada's population ages and healthcare demands evolve, the Vancouver Chemist location exemplifies how a local pharmacy can thrive by deeply understanding its regional context. We remain committed to delivering the highest standard of pharmaceutical care in Canada while innovating to meet Vancouver's specific health challenges. This Sales Report confirms that our focus on community integration – from diabetes outreach in Downtown Eastside to travel health services for tourists – delivers measurable business success alongside meaningful public health impact.</w:t>
      </w:r>
    </w:p>
    <w:p>
      <w:pPr>
        <w:pStyle w:val="BodyText"/>
      </w:pPr>
      <w:r>
        <w:t xml:space="preserve">Looking ahead, we project continued growth of 12-15% for Q4 2023 as we implement the strategic recommendations outlined above, further cementing our position as Vancouver's most trusted chemist pharmacy.</w:t>
      </w:r>
    </w:p>
    <w:bookmarkEnd w:id="28"/>
    <w:p>
      <w:pPr>
        <w:pStyle w:val="BodyText"/>
      </w:pPr>
      <w:r>
        <w:t xml:space="preserve">Prepared by: Vancouver Chemist Pharmacy Management • Date: October 15, 2023</w:t>
      </w:r>
      <w:r>
        <w:br/>
      </w:r>
      <w:r>
        <w:t xml:space="preserve">This Sales Report complies with Canadian Privacy Act (PIPEDA) and Health Canada regulations.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Vancouver Chemist Pharmacy</dc:title>
  <dc:creator/>
  <dc:language>en</dc:language>
  <cp:keywords/>
  <dcterms:created xsi:type="dcterms:W3CDTF">2025-12-13T01:28:25Z</dcterms:created>
  <dcterms:modified xsi:type="dcterms:W3CDTF">2025-12-13T01:28:25Z</dcterms:modified>
</cp:coreProperties>
</file>

<file path=docProps/custom.xml><?xml version="1.0" encoding="utf-8"?>
<Properties xmlns="http://schemas.openxmlformats.org/officeDocument/2006/custom-properties" xmlns:vt="http://schemas.openxmlformats.org/officeDocument/2006/docPropsVTypes"/>
</file>