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Chemist</w:t>
      </w:r>
      <w:r>
        <w:t xml:space="preserve"> </w:t>
      </w:r>
      <w:r>
        <w:t xml:space="preserve">Sales</w:t>
      </w:r>
      <w:r>
        <w:t xml:space="preserve"> </w:t>
      </w:r>
      <w:r>
        <w:t xml:space="preserve">Report</w:t>
      </w:r>
      <w:r>
        <w:t xml:space="preserve"> </w:t>
      </w:r>
      <w:r>
        <w:t xml:space="preserve">-</w:t>
      </w:r>
      <w:r>
        <w:t xml:space="preserve"> </w:t>
      </w:r>
      <w:r>
        <w:t xml:space="preserve">China</w:t>
      </w:r>
      <w:r>
        <w:t xml:space="preserve"> </w:t>
      </w:r>
      <w:r>
        <w:t xml:space="preserve">Beijing</w:t>
      </w:r>
      <w:r>
        <w:t xml:space="preserve"> </w:t>
      </w:r>
      <w:r>
        <w:t xml:space="preserve">Operations</w:t>
      </w:r>
    </w:p>
    <w:bookmarkStart w:id="28" w:name="X6f0c0de66df8f26ddc9f048af32c7d2cb1a0e08"/>
    <w:p>
      <w:pPr>
        <w:pStyle w:val="Heading1"/>
      </w:pPr>
      <w:r>
        <w:t xml:space="preserve">Comprehensive Sales Report: Chemist Pharmaceuticals China Beijing Division</w:t>
      </w:r>
    </w:p>
    <w:bookmarkStart w:id="20" w:name="executive-summary"/>
    <w:p>
      <w:pPr>
        <w:pStyle w:val="Heading2"/>
      </w:pPr>
      <w:r>
        <w:t xml:space="preserve">Executive Summary</w:t>
      </w:r>
    </w:p>
    <w:p>
      <w:pPr>
        <w:pStyle w:val="FirstParagraph"/>
      </w:pPr>
      <w:r>
        <w:t xml:space="preserve">This official Sales Report details the operational performance of Chemist Pharmaceuticals' Beijing division for Q3 2023. The report demonstrates robust growth across all key product lines, with a 18.7% year-over-year revenue increase totaling RMB 45.6 million in China Beijing markets. This success underscores our strategic positioning as a leading healthcare solutions provider in the region, directly responding to evolving pharmaceutical needs within China's most dynamic metropolitan hub.</w:t>
      </w:r>
    </w:p>
    <w:bookmarkEnd w:id="20"/>
    <w:bookmarkStart w:id="21" w:name="X7e848f06ecb37b5c730e17faa124bb2e2371933"/>
    <w:p>
      <w:pPr>
        <w:pStyle w:val="Heading2"/>
      </w:pPr>
      <w:r>
        <w:t xml:space="preserve">Market Context: China Beijing's Pharmaceutical Landscape</w:t>
      </w:r>
    </w:p>
    <w:p>
      <w:pPr>
        <w:pStyle w:val="FirstParagraph"/>
      </w:pPr>
      <w:r>
        <w:t xml:space="preserve">Beijing represents the epicenter of China's pharmaceutical innovation ecosystem, housing 37% of national R&amp;D centers and serving as the administrative nerve center for healthcare policy implementation. As a premier Chemist in this strategic location, our Beijing office leverages proximity to the National Medical Products Administration (NMPA) and major hospitals to accelerate market access. The Chinese government's "Healthy China 2030" initiative has intensified demand for high-quality pharmaceuticals, creating optimal conditions for specialized chemist solutions that prioritize quality and regulatory compliance.</w:t>
      </w:r>
    </w:p>
    <w:bookmarkEnd w:id="21"/>
    <w:bookmarkStart w:id="22" w:name="sales-performance-breakdown"/>
    <w:p>
      <w:pPr>
        <w:pStyle w:val="Heading2"/>
      </w:pPr>
      <w:r>
        <w:t xml:space="preserve">Sales Performance Breakdown</w:t>
      </w:r>
    </w:p>
    <w:p>
      <w:pPr>
        <w:pStyle w:val="FirstParagraph"/>
      </w:pPr>
      <w:r>
        <w:t xml:space="preserve">Our Q3 sales data reveals exceptional performance across all segments:</w:t>
      </w:r>
    </w:p>
    <w:p>
      <w:pPr>
        <w:numPr>
          <w:ilvl w:val="0"/>
          <w:numId w:val="1001"/>
        </w:numPr>
        <w:pStyle w:val="Compact"/>
      </w:pPr>
      <w:r>
        <w:rPr>
          <w:bCs/>
          <w:b/>
        </w:rPr>
        <w:t xml:space="preserve">Prescription Medicines:</w:t>
      </w:r>
      <w:r>
        <w:t xml:space="preserve"> </w:t>
      </w:r>
      <w:r>
        <w:t xml:space="preserve">68% market share growth in Beijing hospitals (up from 41% in Q2), driven by our novel diabetes management portfolio</w:t>
      </w:r>
    </w:p>
    <w:p>
      <w:pPr>
        <w:numPr>
          <w:ilvl w:val="0"/>
          <w:numId w:val="1001"/>
        </w:numPr>
        <w:pStyle w:val="Compact"/>
      </w:pPr>
      <w:r>
        <w:rPr>
          <w:bCs/>
          <w:b/>
        </w:rPr>
        <w:t xml:space="preserve">OTC Products:</w:t>
      </w:r>
      <w:r>
        <w:t xml:space="preserve"> </w:t>
      </w:r>
      <w:r>
        <w:t xml:space="preserve">32.5% revenue increase through expanded retail partnerships with local pharmacy chains like Kanghui and Yikang</w:t>
      </w:r>
    </w:p>
    <w:p>
      <w:pPr>
        <w:numPr>
          <w:ilvl w:val="0"/>
          <w:numId w:val="1001"/>
        </w:numPr>
        <w:pStyle w:val="Compact"/>
      </w:pPr>
      <w:r>
        <w:rPr>
          <w:bCs/>
          <w:b/>
        </w:rPr>
        <w:t xml:space="preserve">Biochemical Solutions:</w:t>
      </w:r>
      <w:r>
        <w:t xml:space="preserve"> </w:t>
      </w:r>
      <w:r>
        <w:t xml:space="preserve">41% surge in sales to research institutions, including Tsinghua University's Center for Drug Discovery</w:t>
      </w:r>
    </w:p>
    <w:p>
      <w:pPr>
        <w:pStyle w:val="FirstParagraph"/>
      </w:pPr>
      <w:r>
        <w:t xml:space="preserve">Notably, the Beijing Chemist team achieved a 22% repeat customer rate – significantly above the national average of 15%. This reflects our commitment to scientific excellence and service quality within China's competitive pharmaceutical landscape. The division now serves over 1,200 healthcare facilities across Beijing metropolitan area, including all major teaching hospitals.</w:t>
      </w:r>
    </w:p>
    <w:bookmarkEnd w:id="22"/>
    <w:bookmarkStart w:id="23" w:name="strategic-initiatives-driving-success"/>
    <w:p>
      <w:pPr>
        <w:pStyle w:val="Heading2"/>
      </w:pPr>
      <w:r>
        <w:t xml:space="preserve">Strategic Initiatives Driving Success</w:t>
      </w:r>
    </w:p>
    <w:p>
      <w:pPr>
        <w:pStyle w:val="FirstParagraph"/>
      </w:pPr>
      <w:r>
        <w:t xml:space="preserve">Our market dominance stems from three pillars:</w:t>
      </w:r>
    </w:p>
    <w:p>
      <w:pPr>
        <w:numPr>
          <w:ilvl w:val="0"/>
          <w:numId w:val="1002"/>
        </w:numPr>
        <w:pStyle w:val="Compact"/>
      </w:pPr>
      <w:r>
        <w:rPr>
          <w:bCs/>
          <w:b/>
        </w:rPr>
        <w:t xml:space="preserve">Regulatory Expertise:</w:t>
      </w:r>
      <w:r>
        <w:t xml:space="preserve"> </w:t>
      </w:r>
      <w:r>
        <w:t xml:space="preserve">Dedicated China Beijing compliance team ensured 100% on-time NMPA submissions for all new products, a critical advantage in the region's highly regulated environment.</w:t>
      </w:r>
    </w:p>
    <w:p>
      <w:pPr>
        <w:numPr>
          <w:ilvl w:val="0"/>
          <w:numId w:val="1002"/>
        </w:numPr>
        <w:pStyle w:val="Compact"/>
      </w:pPr>
      <w:r>
        <w:rPr>
          <w:bCs/>
          <w:b/>
        </w:rPr>
        <w:t xml:space="preserve">Tailored Product Portfolio:</w:t>
      </w:r>
      <w:r>
        <w:t xml:space="preserve"> </w:t>
      </w:r>
      <w:r>
        <w:t xml:space="preserve">The Chemist R&amp;D team developed Beijing-specific formulations addressing local health concerns like air pollution-related respiratory conditions and high-stress urban lifestyle ailments.</w:t>
      </w:r>
    </w:p>
    <w:bookmarkEnd w:id="23"/>
    <w:bookmarkStart w:id="24" w:name="X0fb88a0655d9c263ab2bb76ca6ed65879ccc4ed"/>
    <w:p>
      <w:pPr>
        <w:pStyle w:val="Heading2"/>
      </w:pPr>
      <w:r>
        <w:t xml:space="preserve">Market Analysis: China Beijing Opportunities</w:t>
      </w:r>
    </w:p>
    <w:p>
      <w:pPr>
        <w:pStyle w:val="FirstParagraph"/>
      </w:pPr>
      <w:r>
        <w:t xml:space="preserve">The Beijing pharmaceutical market is projected to grow at 12.3% annually through 2025, driven by aging population and rising healthcare expenditure. Our Sales Report identifies critical growth vectors:</w:t>
      </w:r>
    </w:p>
    <w:p>
      <w:pPr>
        <w:numPr>
          <w:ilvl w:val="0"/>
          <w:numId w:val="1003"/>
        </w:numPr>
        <w:pStyle w:val="Compact"/>
      </w:pPr>
      <w:r>
        <w:rPr>
          <w:iCs/>
          <w:i/>
        </w:rPr>
        <w:t xml:space="preserve">Urbanization Effect:</w:t>
      </w:r>
      <w:r>
        <w:t xml:space="preserve"> </w:t>
      </w:r>
      <w:r>
        <w:t xml:space="preserve">As Beijing expands its urban footprint, we've secured contracts with new district hospitals opening in Shunyi and Tongzhou districts</w:t>
      </w:r>
    </w:p>
    <w:p>
      <w:pPr>
        <w:numPr>
          <w:ilvl w:val="0"/>
          <w:numId w:val="1003"/>
        </w:numPr>
        <w:pStyle w:val="Compact"/>
      </w:pPr>
      <w:r>
        <w:rPr>
          <w:iCs/>
          <w:i/>
        </w:rPr>
        <w:t xml:space="preserve">Digital Health Integration:</w:t>
      </w:r>
      <w:r>
        <w:t xml:space="preserve"> </w:t>
      </w:r>
      <w:r>
        <w:t xml:space="preserve">Collaboration with local telehealth platforms has increased e-prescription adoption by 64% among our partner clinics</w:t>
      </w:r>
    </w:p>
    <w:p>
      <w:pPr>
        <w:numPr>
          <w:ilvl w:val="0"/>
          <w:numId w:val="1003"/>
        </w:numPr>
        <w:pStyle w:val="Compact"/>
      </w:pPr>
      <w:r>
        <w:rPr>
          <w:iCs/>
          <w:i/>
        </w:rPr>
        <w:t xml:space="preserve">Government Partnerships:</w:t>
      </w:r>
      <w:r>
        <w:t xml:space="preserve"> </w:t>
      </w:r>
      <w:r>
        <w:t xml:space="preserve">Successful pilot program with Beijing Municipal Health Commission for diabetes management in public health centers</w:t>
      </w:r>
    </w:p>
    <w:bookmarkEnd w:id="24"/>
    <w:bookmarkStart w:id="25" w:name="challenges-mitigation-strategies"/>
    <w:p>
      <w:pPr>
        <w:pStyle w:val="Heading2"/>
      </w:pPr>
      <w:r>
        <w:t xml:space="preserve">Challenges &amp; Mitigation Strategies</w:t>
      </w:r>
    </w:p>
    <w:p>
      <w:pPr>
        <w:pStyle w:val="FirstParagraph"/>
      </w:pPr>
      <w:r>
        <w:t xml:space="preserve">Despite strong performance, the China Beijing market presents unique hurdles: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Impact on Chemist Operations</w:t>
            </w:r>
          </w:p>
        </w:tc>
        <w:tc>
          <w:tcPr/>
          <w:p>
            <w:pPr>
              <w:pStyle w:val="Compact"/>
              <w:jc w:val="left"/>
            </w:pPr>
            <w:r>
              <w:t xml:space="preserve">Mitigation Strategy</w:t>
            </w:r>
          </w:p>
        </w:tc>
      </w:tr>
      <w:tr>
        <w:tc>
          <w:tcPr/>
          <w:p>
            <w:pPr>
              <w:pStyle w:val="Compact"/>
              <w:jc w:val="left"/>
            </w:pPr>
            <w:r>
              <w:t xml:space="preserve">Supply Chain Disruptions</w:t>
            </w:r>
          </w:p>
        </w:tc>
        <w:tc>
          <w:tcPr/>
          <w:p>
            <w:pPr>
              <w:pStyle w:val="Compact"/>
              <w:jc w:val="left"/>
            </w:pPr>
            <w:r>
              <w:t xml:space="preserve">23% inventory delay in Q1 2023 affecting distribution to peripheral Beijing districts</w:t>
            </w:r>
          </w:p>
        </w:tc>
        <w:tc>
          <w:tcPr/>
          <w:p>
            <w:pPr>
              <w:pStyle w:val="Compact"/>
              <w:jc w:val="left"/>
            </w:pPr>
            <w:r>
              <w:t xml:space="preserve">Established regional warehouse in Tongzhou with 48-hour delivery coverage</w:t>
            </w:r>
          </w:p>
        </w:tc>
      </w:tr>
      <w:tr>
        <w:tc>
          <w:tcPr/>
          <w:p>
            <w:pPr>
              <w:pStyle w:val="Compact"/>
              <w:jc w:val="left"/>
            </w:pPr>
            <w:r>
              <w:t xml:space="preserve">Regulatory Complexity</w:t>
            </w:r>
          </w:p>
        </w:tc>
        <w:tc>
          <w:tcPr/>
          <w:p>
            <w:pPr>
              <w:pStyle w:val="Compact"/>
              <w:jc w:val="left"/>
            </w:pPr>
            <w:r>
              <w:t xml:space="preserve">NMPA approval delays for specialty drugs</w:t>
            </w:r>
          </w:p>
        </w:tc>
        <w:tc>
          <w:tcPr/>
          <w:p>
            <w:pPr>
              <w:pStyle w:val="Compact"/>
              <w:jc w:val="left"/>
            </w:pPr>
            <w:r>
              <w:t xml:space="preserve">Created dedicated Beijing regulatory affairs unit with direct NMPA liaison channel</w:t>
            </w:r>
          </w:p>
        </w:tc>
      </w:tr>
    </w:tbl>
    <w:bookmarkEnd w:id="25"/>
    <w:bookmarkStart w:id="26" w:name="X7c3897efc108d3a39b726438e598261b5519243"/>
    <w:p>
      <w:pPr>
        <w:pStyle w:val="Heading2"/>
      </w:pPr>
      <w:r>
        <w:t xml:space="preserve">Future Growth Roadmap: China Beijing Focus</w:t>
      </w:r>
    </w:p>
    <w:p>
      <w:pPr>
        <w:pStyle w:val="FirstParagraph"/>
      </w:pPr>
      <w:r>
        <w:t xml:space="preserve">This Sales Report concludes with strategic priorities for 2024:</w:t>
      </w:r>
    </w:p>
    <w:p>
      <w:pPr>
        <w:numPr>
          <w:ilvl w:val="0"/>
          <w:numId w:val="1004"/>
        </w:numPr>
        <w:pStyle w:val="Compact"/>
      </w:pPr>
      <w:r>
        <w:rPr>
          <w:bCs/>
          <w:b/>
        </w:rPr>
        <w:t xml:space="preserve">Expansion into New Therapeutic Areas:</w:t>
      </w:r>
      <w:r>
        <w:t xml:space="preserve"> </w:t>
      </w:r>
      <w:r>
        <w:t xml:space="preserve">Launch of neurology-focused products targeting Beijing's rapidly aging population</w:t>
      </w:r>
    </w:p>
    <w:p>
      <w:pPr>
        <w:numPr>
          <w:ilvl w:val="0"/>
          <w:numId w:val="1004"/>
        </w:numPr>
        <w:pStyle w:val="Compact"/>
      </w:pPr>
      <w:r>
        <w:rPr>
          <w:bCs/>
          <w:b/>
        </w:rPr>
        <w:t xml:space="preserve">Digital Transformation:</w:t>
      </w:r>
      <w:r>
        <w:t xml:space="preserve"> </w:t>
      </w:r>
      <w:r>
        <w:t xml:space="preserve">Implementation of AI-driven demand forecasting system tailored to Beijing's seasonal healthcare patterns</w:t>
      </w:r>
    </w:p>
    <w:p>
      <w:pPr>
        <w:numPr>
          <w:ilvl w:val="0"/>
          <w:numId w:val="1004"/>
        </w:numPr>
        <w:pStyle w:val="Compact"/>
      </w:pPr>
      <w:r>
        <w:rPr>
          <w:bCs/>
          <w:b/>
        </w:rPr>
        <w:t xml:space="preserve">Sustainability Initiatives:</w:t>
      </w:r>
      <w:r>
        <w:t xml:space="preserve"> </w:t>
      </w:r>
      <w:r>
        <w:t xml:space="preserve">Zero-waste manufacturing initiative at our Beijing production facility, aligning with China's 2030 carbon peak goals</w:t>
      </w:r>
    </w:p>
    <w:bookmarkEnd w:id="26"/>
    <w:bookmarkStart w:id="27" w:name="X0f3caa2641a45e23ae5278ae20bf5b8b748a726"/>
    <w:p>
      <w:pPr>
        <w:pStyle w:val="Heading2"/>
      </w:pPr>
      <w:r>
        <w:t xml:space="preserve">Conclusion: The Chemist Advantage in China Beijing</w:t>
      </w:r>
    </w:p>
    <w:p>
      <w:pPr>
        <w:pStyle w:val="FirstParagraph"/>
      </w:pPr>
      <w:r>
        <w:t xml:space="preserve">The Q3 Sales Report unequivocally demonstrates how Chemist Pharmaceuticals has become an indispensable healthcare partner in China Beijing. Our localized approach – combining scientific rigor with deep market understanding – has positioned us as the preferred chemist solution provider for both institutional and consumer segments. With our Beijing division now generating 38% of our national revenue, we remain committed to further integrating into China's healthcare ecosystem while maintaining the highest international quality standards.</w:t>
      </w:r>
    </w:p>
    <w:p>
      <w:pPr>
        <w:pStyle w:val="BodyText"/>
      </w:pPr>
      <w:r>
        <w:t xml:space="preserve">As this Sales Report underscores, success in China's complex pharmaceutical market requires more than just products – it demands a strategic presence where innovation meets regulatory excellence. The Chemist team in Beijing has proven that commitment through consistent growth and meaningful community impact. We project 20% annual revenue growth for the China Beijing division through 2025, solidifying our leadership position as the premier chemist partner in one of Asia's most influential healthcare markets.</w:t>
      </w:r>
    </w:p>
    <w:p>
      <w:pPr>
        <w:pStyle w:val="BodyText"/>
      </w:pPr>
      <w:r>
        <w:rPr>
          <w:bCs/>
          <w:b/>
        </w:rPr>
        <w:t xml:space="preserve">Prepared by:</w:t>
      </w:r>
      <w:r>
        <w:t xml:space="preserve"> </w:t>
      </w:r>
      <w:r>
        <w:t xml:space="preserve">Beijing Operations Executive Committee |</w:t>
      </w:r>
      <w:r>
        <w:t xml:space="preserve"> </w:t>
      </w:r>
      <w:r>
        <w:rPr>
          <w:bCs/>
          <w:b/>
        </w:rPr>
        <w:t xml:space="preserve">Date:</w:t>
      </w:r>
      <w:r>
        <w:t xml:space="preserve"> </w:t>
      </w:r>
      <w:r>
        <w:t xml:space="preserve">October 15, 2023 |</w:t>
      </w:r>
      <w:r>
        <w:t xml:space="preserve"> </w:t>
      </w:r>
      <w:r>
        <w:rPr>
          <w:bCs/>
          <w:b/>
        </w:rPr>
        <w:t xml:space="preserve">Distribution:</w:t>
      </w:r>
      <w:r>
        <w:t xml:space="preserve"> </w:t>
      </w:r>
      <w:r>
        <w:t xml:space="preserve">China Beijing Regional Management, Global Leadership Team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 Sales Report - China Beijing Operations</dc:title>
  <dc:creator/>
  <dc:language>en</dc:language>
  <cp:keywords/>
  <dcterms:created xsi:type="dcterms:W3CDTF">2025-12-11T10:35:47Z</dcterms:created>
  <dcterms:modified xsi:type="dcterms:W3CDTF">2025-12-11T10:35:47Z</dcterms:modified>
</cp:coreProperties>
</file>

<file path=docProps/custom.xml><?xml version="1.0" encoding="utf-8"?>
<Properties xmlns="http://schemas.openxmlformats.org/officeDocument/2006/custom-properties" xmlns:vt="http://schemas.openxmlformats.org/officeDocument/2006/docPropsVTypes"/>
</file>