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Guangzhou</w:t>
      </w:r>
      <w:r>
        <w:t xml:space="preserve"> </w:t>
      </w:r>
      <w:r>
        <w:t xml:space="preserve">Chemist</w:t>
      </w:r>
      <w:r>
        <w:t xml:space="preserve"> </w:t>
      </w:r>
      <w:r>
        <w:t xml:space="preserve">Market</w:t>
      </w:r>
      <w:r>
        <w:t xml:space="preserve"> </w:t>
      </w:r>
      <w:r>
        <w:t xml:space="preserve">Performance</w:t>
      </w:r>
    </w:p>
    <w:bookmarkStart w:id="28" w:name="X70690f8608ac50e2431eaaf19e2313a875e6729"/>
    <w:p>
      <w:pPr>
        <w:pStyle w:val="Heading1"/>
      </w:pPr>
      <w:r>
        <w:t xml:space="preserve">Q3 2023 Sales Report for Chemist Operations in China Guangzhou</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pharmaceutical and wellness product operations across our network of pharmacies and retail outlets in China Guangzhou during Q3 2023. As a leading healthcare provider serving Guangzhou's dense urban population, our strategic focus on community-focused pharmacy services has yielded significant growth. The report analyzes key metrics, market trends, and actionable insights specifically tailored to the unique dynamics of the</w:t>
      </w:r>
      <w:r>
        <w:t xml:space="preserve"> </w:t>
      </w:r>
      <w:r>
        <w:rPr>
          <w:bCs/>
          <w:b/>
        </w:rPr>
        <w:t xml:space="preserve">Chemist</w:t>
      </w:r>
      <w:r>
        <w:t xml:space="preserve"> </w:t>
      </w:r>
      <w:r>
        <w:t xml:space="preserve">sector in China's southern economic hub.</w:t>
      </w:r>
    </w:p>
    <w:bookmarkEnd w:id="20"/>
    <w:bookmarkStart w:id="21" w:name="X7521b578f7a92a5e13cf380c905b2f9503527b5"/>
    <w:p>
      <w:pPr>
        <w:pStyle w:val="Heading2"/>
      </w:pPr>
      <w:r>
        <w:t xml:space="preserve">Market Context: Guangzhou's Pharmaceutical Landscape</w:t>
      </w:r>
    </w:p>
    <w:p>
      <w:pPr>
        <w:pStyle w:val="FirstParagraph"/>
      </w:pPr>
      <w:r>
        <w:rPr>
          <w:bCs/>
          <w:b/>
        </w:rPr>
        <w:t xml:space="preserve">China Guangzhou</w:t>
      </w:r>
      <w:r>
        <w:t xml:space="preserve">, as the capital of Guangdong Province and a global manufacturing center, presents unparalleled opportunities for healthcare businesses. With over 15 million residents and a rapidly aging population, the demand for accessible pharmacy services continues to surge. Our</w:t>
      </w:r>
      <w:r>
        <w:t xml:space="preserve"> </w:t>
      </w:r>
      <w:r>
        <w:rPr>
          <w:bCs/>
          <w:b/>
        </w:rPr>
        <w:t xml:space="preserve">Chemist</w:t>
      </w:r>
      <w:r>
        <w:t xml:space="preserve"> </w:t>
      </w:r>
      <w:r>
        <w:t xml:space="preserve">network in Guangzhou has strategically expanded to 37 locations across key districts including Yuexiu, Tianhe, and Baiyun, directly serving communities with tailored health solutions. The city's robust healthcare infrastructure and high disposable income levels have positioned Guangzhou as a critical growth engine for our national operations.</w:t>
      </w:r>
    </w:p>
    <w:bookmarkEnd w:id="21"/>
    <w:bookmarkStart w:id="22" w:name="q3-2023-sales-performance-highlights"/>
    <w:p>
      <w:pPr>
        <w:pStyle w:val="Heading2"/>
      </w:pPr>
      <w:r>
        <w:t xml:space="preserve">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Growth</w:t>
            </w:r>
          </w:p>
        </w:tc>
      </w:tr>
      <w:tr>
        <w:tc>
          <w:tcPr/>
          <w:p>
            <w:pPr>
              <w:pStyle w:val="Compact"/>
              <w:jc w:val="left"/>
            </w:pPr>
            <w:r>
              <w:t xml:space="preserve">Total Sales Revenue (RMB)</w:t>
            </w:r>
          </w:p>
        </w:tc>
        <w:tc>
          <w:tcPr/>
          <w:p>
            <w:pPr>
              <w:pStyle w:val="Compact"/>
              <w:jc w:val="left"/>
            </w:pPr>
            <w:r>
              <w:t xml:space="preserve">¥48.7 million</w:t>
            </w:r>
          </w:p>
        </w:tc>
        <w:tc>
          <w:tcPr/>
          <w:p>
            <w:pPr>
              <w:pStyle w:val="Compact"/>
              <w:jc w:val="left"/>
            </w:pPr>
            <w:r>
              <w:t xml:space="preserve">¥42.3 million</w:t>
            </w:r>
          </w:p>
        </w:tc>
        <w:tc>
          <w:tcPr/>
          <w:p>
            <w:pPr>
              <w:pStyle w:val="Compact"/>
              <w:jc w:val="left"/>
            </w:pPr>
            <w:r>
              <w:t xml:space="preserve">+15.1%</w:t>
            </w:r>
          </w:p>
        </w:tc>
      </w:tr>
      <w:tr>
        <w:tc>
          <w:tcPr/>
          <w:p>
            <w:pPr>
              <w:pStyle w:val="Compact"/>
              <w:jc w:val="left"/>
            </w:pPr>
            <w:r>
              <w:t xml:space="preserve">Active Customer Base</w:t>
            </w:r>
          </w:p>
        </w:tc>
        <w:tc>
          <w:tcPr/>
          <w:p>
            <w:pPr>
              <w:pStyle w:val="Compact"/>
              <w:jc w:val="left"/>
            </w:pPr>
            <w:r>
              <w:t xml:space="preserve">186,400</w:t>
            </w:r>
          </w:p>
        </w:tc>
        <w:tc>
          <w:tcPr/>
          <w:p>
            <w:pPr>
              <w:pStyle w:val="Compact"/>
              <w:jc w:val="left"/>
            </w:pPr>
            <w:r>
              <w:t xml:space="preserve">163,200</w:t>
            </w:r>
          </w:p>
        </w:tc>
        <w:tc>
          <w:tcPr/>
          <w:p>
            <w:pPr>
              <w:pStyle w:val="Compact"/>
              <w:jc w:val="left"/>
            </w:pPr>
            <w:r>
              <w:t xml:space="preserve">+14.2%</w:t>
            </w:r>
          </w:p>
        </w:tc>
      </w:tr>
      <w:tr>
        <w:tc>
          <w:tcPr/>
          <w:p>
            <w:pPr>
              <w:pStyle w:val="Compact"/>
              <w:jc w:val="left"/>
            </w:pPr>
            <w:r>
              <w:t xml:space="preserve">Average Transaction Value (RMB)</w:t>
            </w:r>
          </w:p>
        </w:tc>
        <w:tc>
          <w:tcPr/>
          <w:p>
            <w:pPr>
              <w:pStyle w:val="Compact"/>
              <w:jc w:val="left"/>
            </w:pPr>
            <w:r>
              <w:t xml:space="preserve">¥385</w:t>
            </w:r>
          </w:p>
        </w:tc>
        <w:tc>
          <w:tcPr/>
          <w:p>
            <w:pPr>
              <w:pStyle w:val="Compact"/>
              <w:jc w:val="left"/>
            </w:pPr>
            <w:r>
              <w:t xml:space="preserve">¥362</w:t>
            </w:r>
          </w:p>
        </w:tc>
        <w:tc>
          <w:tcPr/>
          <w:p>
            <w:pPr>
              <w:pStyle w:val="Compact"/>
              <w:jc w:val="left"/>
            </w:pPr>
            <w:r>
              <w:t xml:space="preserve">+6.4%</w:t>
            </w:r>
          </w:p>
        </w:tc>
      </w:tr>
      <w:tr>
        <w:tc>
          <w:tcPr/>
          <w:p>
            <w:pPr>
              <w:pStyle w:val="Compact"/>
              <w:jc w:val="left"/>
            </w:pPr>
            <w:r>
              <w:t xml:space="preserve">New Product Launch Success Rate</w:t>
            </w:r>
          </w:p>
        </w:tc>
        <w:tc>
          <w:tcPr/>
          <w:p>
            <w:pPr>
              <w:pStyle w:val="Compact"/>
              <w:jc w:val="left"/>
            </w:pPr>
            <w:r>
              <w:t xml:space="preserve">89%</w:t>
            </w:r>
          </w:p>
        </w:tc>
        <w:tc>
          <w:tcPr/>
          <w:p>
            <w:pPr>
              <w:pStyle w:val="Compact"/>
              <w:jc w:val="left"/>
            </w:pPr>
            <w:r>
              <w:t xml:space="preserve">81%</w:t>
            </w:r>
          </w:p>
        </w:tc>
        <w:tc>
          <w:tcPr/>
          <w:p>
            <w:pPr>
              <w:pStyle w:val="Compact"/>
              <w:jc w:val="left"/>
            </w:pPr>
            <w:r>
              <w:t xml:space="preserve">+8 pts</w:t>
            </w:r>
          </w:p>
        </w:tc>
      </w:tr>
    </w:tbl>
    <w:bookmarkEnd w:id="22"/>
    <w:bookmarkStart w:id="23" w:name="Xc6ad4d2ec5ba507a3694089987f955f11f1d1a9"/>
    <w:p>
      <w:pPr>
        <w:pStyle w:val="Heading2"/>
      </w:pPr>
      <w:r>
        <w:t xml:space="preserve">Regional Analysis: Guangzhou Market Dynamics</w:t>
      </w:r>
    </w:p>
    <w:p>
      <w:pPr>
        <w:pStyle w:val="FirstParagraph"/>
      </w:pPr>
      <w:r>
        <w:t xml:space="preserve">The Guangzhou market demonstrated exceptional performance due to our localized approach. Key insights from the</w:t>
      </w:r>
      <w:r>
        <w:t xml:space="preserve"> </w:t>
      </w:r>
      <w:r>
        <w:rPr>
          <w:bCs/>
          <w:b/>
        </w:rPr>
        <w:t xml:space="preserve">Sales Report</w:t>
      </w:r>
      <w:r>
        <w:t xml:space="preserve"> </w:t>
      </w:r>
      <w:r>
        <w:t xml:space="preserve">include:</w:t>
      </w:r>
    </w:p>
    <w:p>
      <w:pPr>
        <w:numPr>
          <w:ilvl w:val="0"/>
          <w:numId w:val="1001"/>
        </w:numPr>
        <w:pStyle w:val="Compact"/>
      </w:pPr>
      <w:r>
        <w:rPr>
          <w:bCs/>
          <w:b/>
        </w:rPr>
        <w:t xml:space="preserve">Tianhe District Dominance:</w:t>
      </w:r>
      <w:r>
        <w:t xml:space="preserve"> </w:t>
      </w:r>
      <w:r>
        <w:t xml:space="preserve">Generated 38% of total Guangzhou sales through high-traffic locations near business hubs, with a 19.7% YoY revenue jump driven by corporate wellness partnerships.</w:t>
      </w:r>
    </w:p>
    <w:p>
      <w:pPr>
        <w:numPr>
          <w:ilvl w:val="0"/>
          <w:numId w:val="1001"/>
        </w:numPr>
        <w:pStyle w:val="Compact"/>
      </w:pPr>
      <w:r>
        <w:rPr>
          <w:bCs/>
          <w:b/>
        </w:rPr>
        <w:t xml:space="preserve">Community Pharmacy Impact:</w:t>
      </w:r>
      <w:r>
        <w:t xml:space="preserve"> </w:t>
      </w:r>
      <w:r>
        <w:t xml:space="preserve">Our</w:t>
      </w:r>
      <w:r>
        <w:t xml:space="preserve"> </w:t>
      </w:r>
      <w:r>
        <w:rPr>
          <w:iCs/>
          <w:i/>
        </w:rPr>
        <w:t xml:space="preserve">Chemist</w:t>
      </w:r>
      <w:r>
        <w:t xml:space="preserve"> </w:t>
      </w:r>
      <w:r>
        <w:t xml:space="preserve">clinics in residential zones achieved 22% higher customer retention than regional competitors through personalized health consultations.</w:t>
      </w:r>
    </w:p>
    <w:p>
      <w:pPr>
        <w:numPr>
          <w:ilvl w:val="0"/>
          <w:numId w:val="1001"/>
        </w:numPr>
        <w:pStyle w:val="Compact"/>
      </w:pPr>
      <w:r>
        <w:rPr>
          <w:bCs/>
          <w:b/>
        </w:rPr>
        <w:t xml:space="preserve">Tourism-Driven Demand:</w:t>
      </w:r>
      <w:r>
        <w:t xml:space="preserve"> </w:t>
      </w:r>
      <w:r>
        <w:t xml:space="preserve">Guangzhou's status as a major international gateway (with over 12M annual tourists) boosted sales of travel health kits by 34% in Q3, particularly at airport outlets.</w:t>
      </w:r>
    </w:p>
    <w:bookmarkEnd w:id="23"/>
    <w:bookmarkStart w:id="24" w:name="product-performance-breakdown"/>
    <w:p>
      <w:pPr>
        <w:pStyle w:val="Heading2"/>
      </w:pPr>
      <w:r>
        <w:t xml:space="preserve">Product Performance Breakdown</w:t>
      </w:r>
    </w:p>
    <w:p>
      <w:pPr>
        <w:pStyle w:val="FirstParagraph"/>
      </w:pPr>
      <w:r>
        <w:t xml:space="preserve">Our product portfolio analysis reveals strategic shifts aligning with Guangzhou consumer behavior: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Revenue (RMB)</w:t>
            </w:r>
          </w:p>
        </w:tc>
        <w:tc>
          <w:tcPr/>
          <w:p>
            <w:pPr>
              <w:pStyle w:val="Compact"/>
              <w:jc w:val="left"/>
            </w:pPr>
            <w:r>
              <w:t xml:space="preserve">Market Share</w:t>
            </w:r>
          </w:p>
        </w:tc>
        <w:tc>
          <w:tcPr/>
          <w:p>
            <w:pPr>
              <w:pStyle w:val="Compact"/>
              <w:jc w:val="left"/>
            </w:pPr>
            <w:r>
              <w:t xml:space="preserve">Growth Driver in Guangzhou</w:t>
            </w:r>
          </w:p>
        </w:tc>
      </w:tr>
      <w:tr>
        <w:tc>
          <w:tcPr/>
          <w:p>
            <w:pPr>
              <w:pStyle w:val="Compact"/>
              <w:jc w:val="left"/>
            </w:pPr>
            <w:r>
              <w:t xml:space="preserve">Over-the-Counter Medicines</w:t>
            </w:r>
          </w:p>
        </w:tc>
        <w:tc>
          <w:tcPr/>
          <w:p>
            <w:pPr>
              <w:pStyle w:val="Compact"/>
              <w:jc w:val="left"/>
            </w:pPr>
            <w:r>
              <w:t xml:space="preserve">¥21.3 million</w:t>
            </w:r>
          </w:p>
        </w:tc>
        <w:tc>
          <w:tcPr/>
          <w:p>
            <w:pPr>
              <w:pStyle w:val="Compact"/>
              <w:jc w:val="left"/>
            </w:pPr>
            <w:r>
              <w:t xml:space="preserve">44%</w:t>
            </w:r>
          </w:p>
        </w:tc>
        <w:tc>
          <w:tcPr/>
          <w:p>
            <w:pPr>
              <w:pStyle w:val="Compact"/>
              <w:jc w:val="left"/>
            </w:pPr>
            <w:r>
              <w:t xml:space="preserve">Pandemic recovery in chronic condition management</w:t>
            </w:r>
          </w:p>
        </w:tc>
      </w:tr>
      <w:tr>
        <w:tc>
          <w:tcPr/>
          <w:p>
            <w:pPr>
              <w:pStyle w:val="Compact"/>
              <w:jc w:val="left"/>
            </w:pPr>
            <w:r>
              <w:t xml:space="preserve">Personal Care &amp; Wellness</w:t>
            </w:r>
          </w:p>
        </w:tc>
        <w:tc>
          <w:tcPr/>
          <w:p>
            <w:pPr>
              <w:pStyle w:val="Compact"/>
              <w:jc w:val="left"/>
            </w:pPr>
            <w:r>
              <w:t xml:space="preserve">¥15.8 million</w:t>
            </w:r>
          </w:p>
        </w:tc>
        <w:tc>
          <w:tcPr/>
          <w:p>
            <w:pPr>
              <w:pStyle w:val="Compact"/>
              <w:jc w:val="left"/>
            </w:pPr>
            <w:r>
              <w:t xml:space="preserve">32%</w:t>
            </w:r>
          </w:p>
        </w:tc>
        <w:tc>
          <w:tcPr/>
          <w:p>
            <w:pPr>
              <w:pStyle w:val="Compact"/>
              <w:jc w:val="left"/>
            </w:pPr>
            <w:r>
              <w:t xml:space="preserve">Rising health consciousness among urban youth</w:t>
            </w:r>
          </w:p>
        </w:tc>
      </w:tr>
      <w:tr>
        <w:tc>
          <w:tcPr/>
          <w:p>
            <w:pPr>
              <w:pStyle w:val="Compact"/>
              <w:jc w:val="left"/>
            </w:pPr>
            <w:r>
              <w:t xml:space="preserve">Premium Nutraceuticals</w:t>
            </w:r>
          </w:p>
        </w:tc>
        <w:tc>
          <w:tcPr/>
          <w:p>
            <w:pPr>
              <w:pStyle w:val="Compact"/>
              <w:jc w:val="left"/>
            </w:pPr>
            <w:r>
              <w:t xml:space="preserve">¥8.9 million</w:t>
            </w:r>
          </w:p>
        </w:tc>
        <w:tc>
          <w:tcPr/>
          <w:p>
            <w:pPr>
              <w:pStyle w:val="Compact"/>
              <w:jc w:val="left"/>
            </w:pPr>
            <w:r>
              <w:t xml:space="preserve">18%</w:t>
            </w:r>
          </w:p>
        </w:tc>
        <w:tc>
          <w:tcPr/>
          <w:p>
            <w:pPr>
              <w:pStyle w:val="Compact"/>
              <w:jc w:val="left"/>
            </w:pPr>
            <w:r>
              <w:t xml:space="preserve">High demand for immunity-boosting products</w:t>
            </w:r>
          </w:p>
        </w:tc>
      </w:tr>
      <w:tr>
        <w:tc>
          <w:tcPr/>
          <w:p>
            <w:pPr>
              <w:pStyle w:val="Compact"/>
              <w:jc w:val="left"/>
            </w:pPr>
            <w:r>
              <w:t xml:space="preserve">Diagnostics &amp; Medical Devices</w:t>
            </w:r>
          </w:p>
        </w:tc>
        <w:tc>
          <w:tcPr/>
          <w:p>
            <w:pPr>
              <w:pStyle w:val="Compact"/>
              <w:jc w:val="left"/>
            </w:pPr>
            <w:r>
              <w:t xml:space="preserve">¥2.7 million</w:t>
            </w:r>
          </w:p>
        </w:tc>
        <w:tc>
          <w:tcPr/>
          <w:p>
            <w:pPr>
              <w:pStyle w:val="Compact"/>
              <w:jc w:val="left"/>
            </w:pPr>
            <w:r>
              <w:t xml:space="preserve">5%</w:t>
            </w:r>
          </w:p>
        </w:tc>
        <w:tc>
          <w:tcPr/>
          <w:p>
            <w:pPr>
              <w:pStyle w:val="Compact"/>
              <w:jc w:val="left"/>
            </w:pPr>
            <w:r>
              <w:t xml:space="preserve">New pharmacy partnerships with local clinics</w:t>
            </w:r>
          </w:p>
        </w:tc>
      </w:tr>
    </w:tbl>
    <w:bookmarkEnd w:id="24"/>
    <w:bookmarkStart w:id="25" w:name="X9628dfe8994cc666f83636a30f6913695360f4a"/>
    <w:p>
      <w:pPr>
        <w:pStyle w:val="Heading2"/>
      </w:pPr>
      <w:r>
        <w:t xml:space="preserve">Critical Challenges in China Guangzhou Operations</w:t>
      </w:r>
    </w:p>
    <w:p>
      <w:pPr>
        <w:pStyle w:val="FirstParagraph"/>
      </w:pPr>
      <w:r>
        <w:t xml:space="preserve">The Q3 performance analysis identified three key challenges requiring immediate attention:</w:t>
      </w:r>
    </w:p>
    <w:p>
      <w:pPr>
        <w:numPr>
          <w:ilvl w:val="0"/>
          <w:numId w:val="1002"/>
        </w:numPr>
        <w:pStyle w:val="Compact"/>
      </w:pPr>
      <w:r>
        <w:rPr>
          <w:bCs/>
          <w:b/>
        </w:rPr>
        <w:t xml:space="preserve">Supply Chain Disruptions:</w:t>
      </w:r>
      <w:r>
        <w:t xml:space="preserve"> </w:t>
      </w:r>
      <w:r>
        <w:t xml:space="preserve">Import delays for specialized pharmaceuticals from Europe impacted inventory turnover in Guangzhou by 11% during July's port congestion period.</w:t>
      </w:r>
    </w:p>
    <w:p>
      <w:pPr>
        <w:numPr>
          <w:ilvl w:val="0"/>
          <w:numId w:val="1002"/>
        </w:numPr>
        <w:pStyle w:val="Compact"/>
      </w:pPr>
      <w:r>
        <w:rPr>
          <w:bCs/>
          <w:b/>
        </w:rPr>
        <w:t xml:space="preserve">Regulatory Compliance:</w:t>
      </w:r>
      <w:r>
        <w:t xml:space="preserve"> </w:t>
      </w:r>
      <w:r>
        <w:t xml:space="preserve">New National Medical Products Administration (NMPA) requirements necessitated 3-week service interruptions at 5 locations while re-certifying prescription protocols.</w:t>
      </w:r>
    </w:p>
    <w:p>
      <w:pPr>
        <w:numPr>
          <w:ilvl w:val="0"/>
          <w:numId w:val="1002"/>
        </w:numPr>
        <w:pStyle w:val="Compact"/>
      </w:pPr>
      <w:r>
        <w:rPr>
          <w:bCs/>
          <w:b/>
        </w:rPr>
        <w:t xml:space="preserve">Competition Intensification:</w:t>
      </w:r>
      <w:r>
        <w:t xml:space="preserve"> </w:t>
      </w:r>
      <w:r>
        <w:t xml:space="preserve">Online pharmacy platforms captured 7% of Guangzhou's OTC market share through aggressive pricing, requiring our</w:t>
      </w:r>
      <w:r>
        <w:t xml:space="preserve"> </w:t>
      </w:r>
      <w:r>
        <w:rPr>
          <w:iCs/>
          <w:i/>
        </w:rPr>
        <w:t xml:space="preserve">Chemist</w:t>
      </w:r>
      <w:r>
        <w:t xml:space="preserve"> </w:t>
      </w:r>
      <w:r>
        <w:t xml:space="preserve">stores to enhance loyalty programs.</w:t>
      </w:r>
    </w:p>
    <w:bookmarkEnd w:id="25"/>
    <w:bookmarkStart w:id="26" w:name="X0ae006dd139caa7f6293f37e7361479cd8b21bb"/>
    <w:p>
      <w:pPr>
        <w:pStyle w:val="Heading2"/>
      </w:pPr>
      <w:r>
        <w:t xml:space="preserve">Strategic Opportunities for Future Growth</w:t>
      </w:r>
    </w:p>
    <w:p>
      <w:pPr>
        <w:pStyle w:val="FirstParagraph"/>
      </w:pPr>
      <w:r>
        <w:t xml:space="preserve">Based on Guangzhou's market trajectory, we recommend these initiatives in our upcoming Q4 planning:</w:t>
      </w:r>
    </w:p>
    <w:p>
      <w:pPr>
        <w:numPr>
          <w:ilvl w:val="0"/>
          <w:numId w:val="1003"/>
        </w:numPr>
        <w:pStyle w:val="Compact"/>
      </w:pPr>
      <w:r>
        <w:rPr>
          <w:bCs/>
          <w:b/>
        </w:rPr>
        <w:t xml:space="preserve">Telehealth Integration:</w:t>
      </w:r>
      <w:r>
        <w:t xml:space="preserve"> </w:t>
      </w:r>
      <w:r>
        <w:t xml:space="preserve">Partner with local hospitals to launch "Virtual Chemist" services addressing Guangzhou's healthcare access gaps in peri-urban areas.</w:t>
      </w:r>
    </w:p>
    <w:p>
      <w:pPr>
        <w:numPr>
          <w:ilvl w:val="0"/>
          <w:numId w:val="1003"/>
        </w:numPr>
        <w:pStyle w:val="Compact"/>
      </w:pPr>
      <w:r>
        <w:rPr>
          <w:bCs/>
          <w:b/>
        </w:rPr>
        <w:t xml:space="preserve">Sustainable Packaging Initiative:</w:t>
      </w:r>
      <w:r>
        <w:t xml:space="preserve"> </w:t>
      </w:r>
      <w:r>
        <w:t xml:space="preserve">Introduce eco-friendly dispensing for all Guangzhou locations, aligning with city's 2025 green commerce targets and appealing to environmentally conscious consumers.</w:t>
      </w:r>
    </w:p>
    <w:p>
      <w:pPr>
        <w:numPr>
          <w:ilvl w:val="0"/>
          <w:numId w:val="1003"/>
        </w:numPr>
        <w:pStyle w:val="Compact"/>
      </w:pPr>
      <w:r>
        <w:rPr>
          <w:bCs/>
          <w:b/>
        </w:rPr>
        <w:t xml:space="preserve">Tourist Health Packages:</w:t>
      </w:r>
      <w:r>
        <w:t xml:space="preserve"> </w:t>
      </w:r>
      <w:r>
        <w:t xml:space="preserve">Develop premium travel wellness bundles for international visitors at key entry points like Baiyun Airport, capitalizing on Guangzhou's tourism volume.</w:t>
      </w:r>
    </w:p>
    <w:bookmarkEnd w:id="26"/>
    <w:bookmarkStart w:id="27" w:name="X26b3591f6772bddeade15dc384d569aa41f10e1"/>
    <w:p>
      <w:pPr>
        <w:pStyle w:val="Heading2"/>
      </w:pPr>
      <w:r>
        <w:t xml:space="preserve">Conclusion: The Path Forward in China Guangzhou</w:t>
      </w:r>
    </w:p>
    <w:p>
      <w:pPr>
        <w:pStyle w:val="FirstParagraph"/>
      </w:pPr>
      <w:r>
        <w:t xml:space="preserve">This Q3</w:t>
      </w:r>
      <w:r>
        <w:t xml:space="preserve"> </w:t>
      </w:r>
      <w:r>
        <w:rPr>
          <w:bCs/>
          <w:b/>
        </w:rPr>
        <w:t xml:space="preserve">Sales Report</w:t>
      </w:r>
      <w:r>
        <w:t xml:space="preserve"> </w:t>
      </w:r>
      <w:r>
        <w:t xml:space="preserve">confirms that our strategic investment in the</w:t>
      </w:r>
      <w:r>
        <w:t xml:space="preserve"> </w:t>
      </w:r>
      <w:r>
        <w:rPr>
          <w:iCs/>
          <w:i/>
        </w:rPr>
        <w:t xml:space="preserve">Chemist</w:t>
      </w:r>
      <w:r>
        <w:t xml:space="preserve"> </w:t>
      </w:r>
      <w:r>
        <w:t xml:space="preserve">ecosystem across China Guangzhou has yielded robust results, exceeding regional targets by 9.2%. The city's unique blend of economic dynamism, demographic trends, and healthcare infrastructure provides a compelling foundation for sustained growth. As we enter Q4, our focus remains on enhancing patient-centric services while navigating regulatory landscapes specific to Guangzhou's pharmaceutical market.</w:t>
      </w:r>
    </w:p>
    <w:p>
      <w:pPr>
        <w:pStyle w:val="BodyText"/>
      </w:pPr>
      <w:r>
        <w:t xml:space="preserve">Looking ahead, we project 18-20% annual revenue growth for Guangzhou operations by implementing the recommended strategies. This will position our</w:t>
      </w:r>
      <w:r>
        <w:t xml:space="preserve"> </w:t>
      </w:r>
      <w:r>
        <w:rPr>
          <w:bCs/>
          <w:b/>
        </w:rPr>
        <w:t xml:space="preserve">Chemist</w:t>
      </w:r>
      <w:r>
        <w:t xml:space="preserve"> </w:t>
      </w:r>
      <w:r>
        <w:t xml:space="preserve">brand as the most trusted community healthcare provider across southern China. The success of this model in Guangzhou serves as a blueprint for expansion into other Tier-1 Chinese cities, reinforcing our commitment to elevating pharmacy services nationwide while maintaining hyper-local relevance.</w:t>
      </w:r>
    </w:p>
    <w:p>
      <w:pPr>
        <w:pStyle w:val="BodyText"/>
      </w:pPr>
      <w:r>
        <w:t xml:space="preserve">This Sales Report is dedicated to advancing healthcare excellence for every resident of China Guangzhou through innovative Chemist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Guangzhou Chemist Market Performance</dc:title>
  <dc:creator/>
  <dc:language>en</dc:language>
  <cp:keywords/>
  <dcterms:created xsi:type="dcterms:W3CDTF">2026-07-23T07:16:13Z</dcterms:created>
  <dcterms:modified xsi:type="dcterms:W3CDTF">2026-07-23T07:16:13Z</dcterms:modified>
</cp:coreProperties>
</file>

<file path=docProps/custom.xml><?xml version="1.0" encoding="utf-8"?>
<Properties xmlns="http://schemas.openxmlformats.org/officeDocument/2006/custom-properties" xmlns:vt="http://schemas.openxmlformats.org/officeDocument/2006/docPropsVTypes"/>
</file>