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Performance</w:t>
      </w:r>
      <w:r>
        <w:t xml:space="preserve"> </w:t>
      </w:r>
      <w:r>
        <w:t xml:space="preserve">in</w:t>
      </w:r>
      <w:r>
        <w:t xml:space="preserve"> </w:t>
      </w:r>
      <w:r>
        <w:t xml:space="preserve">China</w:t>
      </w:r>
      <w:r>
        <w:t xml:space="preserve"> </w:t>
      </w:r>
      <w:r>
        <w:t xml:space="preserve">Shanghai</w:t>
      </w:r>
    </w:p>
    <w:bookmarkStart w:id="29" w:name="X8f66fc7f6c42f61c9b610f841ab7f5fcb89b568"/>
    <w:p>
      <w:pPr>
        <w:pStyle w:val="Heading1"/>
      </w:pPr>
      <w:r>
        <w:t xml:space="preserve">Sales Report: Chemist Performance Analysis for China Shanghai Market (Q3 2023)</w:t>
      </w:r>
    </w:p>
    <w:bookmarkStart w:id="20" w:name="executive-summary"/>
    <w:p>
      <w:pPr>
        <w:pStyle w:val="Heading2"/>
      </w:pPr>
      <w:r>
        <w:t xml:space="preserve">Executive Summary</w:t>
      </w:r>
    </w:p>
    <w:p>
      <w:pPr>
        <w:pStyle w:val="FirstParagraph"/>
      </w:pPr>
      <w:r>
        <w:t xml:space="preserve">This comprehensive Sales Report details the performance of our global chemist retail operations within the dynamic market of China Shanghai. As one of the most commercially vibrant metropolitan hubs in Asia, Shanghai represents a critical growth frontier for pharmaceutical and wellness brands. The Q3 2023 results demonstrate a robust 18.7% year-on-year sales increase, exceeding regional targets by 12%. This report analyzes key drivers including digital integration, consumer health trends, and strategic partnerships that have solidified our position as a leading chemist provider in China Shanghai.</w:t>
      </w:r>
    </w:p>
    <w:bookmarkEnd w:id="20"/>
    <w:bookmarkStart w:id="21" w:name="X323e4c551771ad6067d8a6131e27cc45498c508"/>
    <w:p>
      <w:pPr>
        <w:pStyle w:val="Heading2"/>
      </w:pPr>
      <w:r>
        <w:t xml:space="preserve">Market Context: Chemist Retail Landscape in China Shanghai</w:t>
      </w:r>
    </w:p>
    <w:p>
      <w:pPr>
        <w:pStyle w:val="FirstParagraph"/>
      </w:pPr>
      <w:r>
        <w:t xml:space="preserve">China Shanghai's pharmaceutical market continues to evolve rapidly, driven by aging demographics (18.7% over 60 years), rising disposable incomes, and heightened health consciousness post-pandemic. The city hosts over 4,200 licensed chemist outlets serving 25 million residents—making it the largest single-market for our regional operations. Notably, Shanghai's regulatory environment now prioritizes digital prescriptions and telehealth integration, creating both challenges and opportunities for modern chemist chains.</w:t>
      </w:r>
    </w:p>
    <w:bookmarkEnd w:id="21"/>
    <w:bookmarkStart w:id="22" w:name="X8b9ab616f255d039d0c2eb55f2ca79dd7698377"/>
    <w:p>
      <w:pPr>
        <w:pStyle w:val="Heading2"/>
      </w:pPr>
      <w:r>
        <w:t xml:space="preserve">Q3 Sales Performance: Quantitative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(RMB)</w:t>
            </w:r>
          </w:p>
        </w:tc>
        <w:tc>
          <w:tcPr/>
          <w:p>
            <w:pPr>
              <w:pStyle w:val="Compact"/>
              <w:jc w:val="left"/>
            </w:pPr>
            <w:r>
              <w:t xml:space="preserve">YoY Growth</w:t>
            </w:r>
          </w:p>
        </w:tc>
        <w:tc>
          <w:tcPr/>
          <w:p>
            <w:pPr>
              <w:pStyle w:val="Compact"/>
              <w:jc w:val="left"/>
            </w:pPr>
            <w:r>
              <w:t xml:space="preserve">Market Share</w:t>
            </w:r>
          </w:p>
        </w:tc>
      </w:tr>
      <w:tr>
        <w:tc>
          <w:tcPr/>
          <w:p>
            <w:pPr>
              <w:pStyle w:val="Compact"/>
              <w:jc w:val="left"/>
            </w:pPr>
            <w:r>
              <w:t xml:space="preserve">Precision Wellness Supplements</w:t>
            </w:r>
          </w:p>
        </w:tc>
        <w:tc>
          <w:tcPr/>
          <w:p>
            <w:pPr>
              <w:pStyle w:val="Compact"/>
              <w:jc w:val="left"/>
            </w:pPr>
            <w:r>
              <w:t xml:space="preserve">¥18.7M</w:t>
            </w:r>
          </w:p>
        </w:tc>
        <w:tc>
          <w:tcPr/>
          <w:p>
            <w:pPr>
              <w:pStyle w:val="Compact"/>
              <w:jc w:val="left"/>
            </w:pPr>
            <w:r>
              <w:t xml:space="preserve">+29.4%</w:t>
            </w:r>
          </w:p>
        </w:tc>
        <w:tc>
          <w:tcPr/>
          <w:p>
            <w:pPr>
              <w:pStyle w:val="Compact"/>
              <w:jc w:val="left"/>
            </w:pPr>
            <w:r>
              <w:t xml:space="preserve">34.1%</w:t>
            </w:r>
          </w:p>
        </w:tc>
      </w:tr>
      <w:tr>
        <w:tc>
          <w:tcPr/>
          <w:p>
            <w:pPr>
              <w:pStyle w:val="Compact"/>
              <w:jc w:val="left"/>
            </w:pPr>
            <w:r>
              <w:t xml:space="preserve">Dermatology &amp; Skincare</w:t>
            </w:r>
          </w:p>
        </w:tc>
        <w:tc>
          <w:tcPr/>
          <w:p>
            <w:pPr>
              <w:pStyle w:val="Compact"/>
              <w:jc w:val="left"/>
            </w:pPr>
            <w:r>
              <w:t xml:space="preserve">¥22.3M</w:t>
            </w:r>
          </w:p>
        </w:tc>
        <w:tc>
          <w:tcPr/>
          <w:p>
            <w:pPr>
              <w:pStyle w:val="Compact"/>
              <w:jc w:val="left"/>
            </w:pPr>
            <w:r>
              <w:t xml:space="preserve">+15.6%</w:t>
            </w:r>
          </w:p>
        </w:tc>
        <w:tc>
          <w:tcPr/>
          <w:p>
            <w:pPr>
              <w:pStyle w:val="Compact"/>
              <w:jc w:val="left"/>
            </w:pPr>
            <w:r>
              <w:t xml:space="preserve">28.7%</w:t>
            </w:r>
          </w:p>
        </w:tc>
      </w:tr>
      <w:tr>
        <w:tc>
          <w:tcPr/>
          <w:p>
            <w:pPr>
              <w:pStyle w:val="Compact"/>
              <w:jc w:val="left"/>
            </w:pPr>
            <w:r>
              <w:t xml:space="preserve">OTC Medications</w:t>
            </w:r>
          </w:p>
        </w:tc>
        <w:tc>
          <w:tcPr/>
          <w:p>
            <w:pPr>
              <w:pStyle w:val="Compact"/>
              <w:jc w:val="left"/>
            </w:pPr>
            <w:r>
              <w:t xml:space="preserve">¥9.8M</w:t>
            </w:r>
          </w:p>
        </w:tc>
        <w:tc>
          <w:tcPr/>
          <w:p>
            <w:pPr>
              <w:pStyle w:val="Compact"/>
              <w:jc w:val="left"/>
            </w:pPr>
            <w:r>
              <w:t xml:space="preserve">+11.2%</w:t>
            </w:r>
          </w:p>
        </w:tc>
        <w:tc>
          <w:tcPr/>
          <w:p>
            <w:pPr>
              <w:pStyle w:val="Compact"/>
              <w:jc w:val="left"/>
            </w:pPr>
            <w:r>
              <w:t xml:space="preserve">40.5%</w:t>
            </w:r>
          </w:p>
        </w:tc>
      </w:tr>
      <w:tr>
        <w:tc>
          <w:tcPr/>
          <w:p>
            <w:pPr>
              <w:pStyle w:val="Compact"/>
              <w:jc w:val="left"/>
            </w:pPr>
            <w:r>
              <w:t xml:space="preserve">Vitamins &amp; Minerals</w:t>
            </w:r>
          </w:p>
        </w:tc>
        <w:tc>
          <w:tcPr/>
          <w:p>
            <w:pPr>
              <w:pStyle w:val="Compact"/>
              <w:jc w:val="left"/>
            </w:pPr>
            <w:r>
              <w:t xml:space="preserve">¥14.2M</w:t>
            </w:r>
          </w:p>
        </w:tc>
        <w:tc>
          <w:tcPr/>
          <w:p>
            <w:pPr>
              <w:pStyle w:val="Compact"/>
              <w:jc w:val="left"/>
            </w:pPr>
            <w:r>
              <w:t xml:space="preserve">+33.7%</w:t>
            </w:r>
          </w:p>
        </w:tc>
        <w:tc>
          <w:tcPr/>
          <w:p>
            <w:pPr>
              <w:pStyle w:val="Compact"/>
              <w:jc w:val="left"/>
            </w:pPr>
            <w:r>
              <w:t xml:space="preserve">38.9%</w:t>
            </w:r>
          </w:p>
        </w:tc>
      </w:tr>
      <w:tr>
        <w:tc>
          <w:tcPr/>
          <w:p>
            <w:pPr>
              <w:pStyle w:val="Compact"/>
              <w:jc w:val="left"/>
            </w:pPr>
            <w:r>
              <w:t xml:space="preserve">Total Chemist Sales (Shanghai)</w:t>
            </w:r>
          </w:p>
        </w:tc>
        <w:tc>
          <w:tcPr/>
          <w:p>
            <w:pPr>
              <w:pStyle w:val="Compact"/>
              <w:jc w:val="left"/>
            </w:pPr>
            <w:r>
              <w:t xml:space="preserve">¥65M</w:t>
            </w:r>
          </w:p>
        </w:tc>
        <w:tc>
          <w:tcPr/>
          <w:p>
            <w:pPr>
              <w:pStyle w:val="Compact"/>
              <w:jc w:val="left"/>
            </w:pPr>
            <w:r>
              <w:t xml:space="preserve">+18.7%</w:t>
            </w:r>
          </w:p>
        </w:tc>
        <w:tc>
          <w:tcPr/>
          <w:p>
            <w:pPr>
              <w:pStyle w:val="Compact"/>
              <w:jc w:val="left"/>
            </w:pPr>
            <w:r>
              <w:t xml:space="preserve">32.3%</w:t>
            </w:r>
          </w:p>
        </w:tc>
      </w:tr>
    </w:tbl>
    <w:bookmarkEnd w:id="22"/>
    <w:bookmarkStart w:id="23" w:name="key-drivers-of-success-in-china-shanghai"/>
    <w:p>
      <w:pPr>
        <w:pStyle w:val="Heading2"/>
      </w:pPr>
      <w:r>
        <w:t xml:space="preserve">Key Drivers of Success in China Shanghai</w:t>
      </w:r>
    </w:p>
    <w:p>
      <w:pPr>
        <w:pStyle w:val="FirstParagraph"/>
      </w:pPr>
      <w:r>
        <w:rPr>
          <w:bCs/>
          <w:b/>
        </w:rPr>
        <w:t xml:space="preserve">1. Digital Transformation Partnership:</w:t>
      </w:r>
      <w:r>
        <w:t xml:space="preserve"> </w:t>
      </w:r>
      <w:r>
        <w:t xml:space="preserve">Our collaboration with Shanghai-based health-tech leader "MediLink" enabled seamless integration of AI-powered health consultations within 450+ chemist stores across the city. This resulted in a 37% increase in cross-selling of personalized wellness plans at point-of-sale.</w:t>
      </w:r>
    </w:p>
    <w:p>
      <w:pPr>
        <w:pStyle w:val="BodyText"/>
      </w:pPr>
      <w:r>
        <w:rPr>
          <w:bCs/>
          <w:b/>
        </w:rPr>
        <w:t xml:space="preserve">2. Cultural Adaptation:</w:t>
      </w:r>
      <w:r>
        <w:t xml:space="preserve"> </w:t>
      </w:r>
      <w:r>
        <w:t xml:space="preserve">Localizing product formulations for Shanghai consumers—such as low-sodium herbal supplements and climate-specific skincare lines—drove 41% higher customer retention versus national averages. The "Shanghai Health Ambassador" training program (certifying 300+ chemist staff) significantly improved service quality ratings.</w:t>
      </w:r>
    </w:p>
    <w:p>
      <w:pPr>
        <w:pStyle w:val="BodyText"/>
      </w:pPr>
      <w:r>
        <w:rPr>
          <w:bCs/>
          <w:b/>
        </w:rPr>
        <w:t xml:space="preserve">3. Strategic Location Strategy:</w:t>
      </w:r>
      <w:r>
        <w:t xml:space="preserve"> </w:t>
      </w:r>
      <w:r>
        <w:t xml:space="preserve">We expanded our presence in high-traffic districts like Xujiahui and Pudong with flagship stores featuring "Wellness Experience Zones." These locations generated 2.3x the average sales per square meter compared to standard chemist outlets.</w:t>
      </w:r>
    </w:p>
    <w:bookmarkEnd w:id="23"/>
    <w:bookmarkStart w:id="24" w:name="X9a34a93b7e79306e3b2c95d5da0b68e1c1c2f54"/>
    <w:p>
      <w:pPr>
        <w:pStyle w:val="Heading2"/>
      </w:pPr>
      <w:r>
        <w:t xml:space="preserve">Customer Insights: Shanghai Consumer Behavior</w:t>
      </w:r>
    </w:p>
    <w:p>
      <w:pPr>
        <w:pStyle w:val="FirstParagraph"/>
      </w:pPr>
      <w:r>
        <w:t xml:space="preserve">Data from our Shanghai customer loyalty program (enrollment: 1.8M users) reveals critical trends:</w:t>
      </w:r>
    </w:p>
    <w:p>
      <w:pPr>
        <w:numPr>
          <w:ilvl w:val="0"/>
          <w:numId w:val="1001"/>
        </w:numPr>
        <w:pStyle w:val="Compact"/>
      </w:pPr>
      <w:r>
        <w:rPr>
          <w:bCs/>
          <w:b/>
        </w:rPr>
        <w:t xml:space="preserve">Gen Z Dominance:</w:t>
      </w:r>
      <w:r>
        <w:t xml:space="preserve"> </w:t>
      </w:r>
      <w:r>
        <w:t xml:space="preserve">58% of new customers aged 18-29, driving demand for social-media integrated health tracking features</w:t>
      </w:r>
    </w:p>
    <w:p>
      <w:pPr>
        <w:numPr>
          <w:ilvl w:val="0"/>
          <w:numId w:val="1001"/>
        </w:numPr>
        <w:pStyle w:val="Compact"/>
      </w:pPr>
      <w:r>
        <w:rPr>
          <w:bCs/>
          <w:b/>
        </w:rPr>
        <w:t xml:space="preserve">Premiumization Trend:</w:t>
      </w:r>
      <w:r>
        <w:t xml:space="preserve"> </w:t>
      </w:r>
      <w:r>
        <w:t xml:space="preserve">63% of transactions now include premium-priced "clinical-grade" skincare products versus 45% in Q1</w:t>
      </w:r>
    </w:p>
    <w:p>
      <w:pPr>
        <w:numPr>
          <w:ilvl w:val="0"/>
          <w:numId w:val="1001"/>
        </w:numPr>
        <w:pStyle w:val="Compact"/>
      </w:pPr>
      <w:r>
        <w:rPr>
          <w:bCs/>
          <w:b/>
        </w:rPr>
        <w:t xml:space="preserve">Telehealth Surge:</w:t>
      </w:r>
      <w:r>
        <w:t xml:space="preserve"> </w:t>
      </w:r>
      <w:r>
        <w:t xml:space="preserve">72% of Shanghai chemist customers used our integrated teleconsultation service, reducing repeat visits by 34%</w:t>
      </w:r>
    </w:p>
    <w:bookmarkEnd w:id="24"/>
    <w:bookmarkStart w:id="25" w:name="challenges-and-strategic-response"/>
    <w:p>
      <w:pPr>
        <w:pStyle w:val="Heading2"/>
      </w:pPr>
      <w:r>
        <w:t xml:space="preserve">Challenges and Strategic Response</w:t>
      </w:r>
    </w:p>
    <w:p>
      <w:pPr>
        <w:pStyle w:val="FirstParagraph"/>
      </w:pPr>
      <w:r>
        <w:rPr>
          <w:iCs/>
          <w:i/>
        </w:rPr>
        <w:t xml:space="preserve">Regulatory Shifts:</w:t>
      </w:r>
      <w:r>
        <w:t xml:space="preserve"> </w:t>
      </w:r>
      <w:r>
        <w:t xml:space="preserve">Recent China FDA amendments required reformulation of 17 over-the-counter products. Our Shanghai R&amp;D team accelerated compliance through rapid prototyping, avoiding 3-week sales disruption.</w:t>
      </w:r>
    </w:p>
    <w:p>
      <w:pPr>
        <w:pStyle w:val="BodyText"/>
      </w:pPr>
      <w:r>
        <w:rPr>
          <w:iCs/>
          <w:i/>
        </w:rPr>
        <w:t xml:space="preserve">Digital Competition:</w:t>
      </w:r>
      <w:r>
        <w:t xml:space="preserve"> </w:t>
      </w:r>
      <w:r>
        <w:t xml:space="preserve">E-commerce giants like JD Health captured 22% of Shanghai's online pharmacy market. Our response: Launched "Chemist@Home" subscription model with same-day delivery in Shanghai—now generating ¥5.1M monthly revenue.</w:t>
      </w:r>
    </w:p>
    <w:bookmarkEnd w:id="25"/>
    <w:bookmarkStart w:id="26" w:name="X1d09939d5d8d2ec267a6dc5460d892f552a0832"/>
    <w:p>
      <w:pPr>
        <w:pStyle w:val="Heading2"/>
      </w:pPr>
      <w:r>
        <w:t xml:space="preserve">Future Growth Initiatives for China Shanghai</w:t>
      </w:r>
    </w:p>
    <w:p>
      <w:pPr>
        <w:numPr>
          <w:ilvl w:val="0"/>
          <w:numId w:val="1002"/>
        </w:numPr>
        <w:pStyle w:val="Compact"/>
      </w:pPr>
      <w:r>
        <w:rPr>
          <w:bCs/>
          <w:b/>
        </w:rPr>
        <w:t xml:space="preserve">Shanghai Wellness Ecosystem:</w:t>
      </w:r>
      <w:r>
        <w:t xml:space="preserve"> </w:t>
      </w:r>
      <w:r>
        <w:t xml:space="preserve">Partnering with 10+ corporate campuses (including Alibaba and Tencent offices) to establish on-site chemist kiosks by Q1 2024.</w:t>
      </w:r>
    </w:p>
    <w:p>
      <w:pPr>
        <w:numPr>
          <w:ilvl w:val="0"/>
          <w:numId w:val="1002"/>
        </w:numPr>
        <w:pStyle w:val="Compact"/>
      </w:pPr>
      <w:r>
        <w:rPr>
          <w:bCs/>
          <w:b/>
        </w:rPr>
        <w:t xml:space="preserve">Sustainability Integration:</w:t>
      </w:r>
      <w:r>
        <w:t xml:space="preserve"> </w:t>
      </w:r>
      <w:r>
        <w:t xml:space="preserve">Launching "Green Chemist" initiative with biodegradable packaging across all Shanghai stores—projected to reduce plastic waste by 85%.</w:t>
      </w:r>
    </w:p>
    <w:p>
      <w:pPr>
        <w:numPr>
          <w:ilvl w:val="0"/>
          <w:numId w:val="1002"/>
        </w:numPr>
        <w:pStyle w:val="Compact"/>
      </w:pPr>
      <w:r>
        <w:rPr>
          <w:bCs/>
          <w:b/>
        </w:rPr>
        <w:t xml:space="preserve">Data-Driven Personalization:</w:t>
      </w:r>
      <w:r>
        <w:t xml:space="preserve"> </w:t>
      </w:r>
      <w:r>
        <w:t xml:space="preserve">Implementing AI-driven inventory systems predicting neighborhood-specific health trends (e.g., allergy season forecasting in Pudong).</w:t>
      </w:r>
    </w:p>
    <w:bookmarkEnd w:id="26"/>
    <w:bookmarkStart w:id="28" w:name="conclusion"/>
    <w:p>
      <w:pPr>
        <w:pStyle w:val="Heading2"/>
      </w:pPr>
      <w:r>
        <w:t xml:space="preserve">Conclusion</w:t>
      </w:r>
    </w:p>
    <w:p>
      <w:pPr>
        <w:pStyle w:val="FirstParagraph"/>
      </w:pPr>
      <w:r>
        <w:t xml:space="preserve">The China Shanghai market has cemented its position as our most profitable regional operation, demonstrating how a modern chemist business can thrive through cultural intelligence and technological innovation. This Sales Report confirms that strategic adaptation to Shanghai's unique healthcare ecosystem—combining global pharmaceutical expertise with hyper-localized execution—delivers sustainable growth in one of the world's most competitive markets. As we advance toward our 2025 target of capturing 35% market share across China, Shanghai will remain the operational blueprint for all Asia-Pacific chemist expansion. Our commitment to elevating community health through this leading chemist brand continues to resonate powerfully with Shanghai consumers seeking trusted, personalized wellness solutions.</w:t>
      </w:r>
    </w:p>
    <w:p>
      <w:pPr>
        <w:pStyle w:val="BodyText"/>
      </w:pPr>
      <w:r>
        <w:rPr>
          <w:bCs/>
          <w:b/>
        </w:rPr>
        <w:t xml:space="preserve">Prepared by:</w:t>
      </w:r>
      <w:r>
        <w:t xml:space="preserve"> </w:t>
      </w:r>
      <w:r>
        <w:t xml:space="preserve">Global Retail Analytics Division</w:t>
      </w:r>
      <w:r>
        <w:br/>
      </w:r>
      <w:r>
        <w:rPr>
          <w:bCs/>
          <w:b/>
        </w:rPr>
        <w:t xml:space="preserve">Date:</w:t>
      </w:r>
      <w:r>
        <w:t xml:space="preserve"> </w:t>
      </w:r>
      <w:r>
        <w:t xml:space="preserve">October 26, 2023</w:t>
      </w:r>
      <w:r>
        <w:br/>
      </w:r>
      <w:r>
        <w:rPr>
          <w:bCs/>
          <w:b/>
        </w:rPr>
        <w:t xml:space="preserve">For: Chemist Global Leadership Team</w:t>
      </w:r>
    </w:p>
    <w:bookmarkStart w:id="27" w:name="X726344b0b6c8d089c277912b1d3431491c972cd"/>
    <w:p>
      <w:pPr>
        <w:pStyle w:val="Heading3"/>
      </w:pPr>
      <w:r>
        <w:t xml:space="preserve">Appendix: Key Shanghai Market Metrics (Q3 2023)</w:t>
      </w:r>
    </w:p>
    <w:p>
      <w:pPr>
        <w:numPr>
          <w:ilvl w:val="0"/>
          <w:numId w:val="1003"/>
        </w:numPr>
        <w:pStyle w:val="Compact"/>
      </w:pPr>
      <w:r>
        <w:t xml:space="preserve">Average Transaction Value in Shanghai: ¥158 (vs. National Avg. ¥124)</w:t>
      </w:r>
    </w:p>
    <w:p>
      <w:pPr>
        <w:numPr>
          <w:ilvl w:val="0"/>
          <w:numId w:val="1003"/>
        </w:numPr>
        <w:pStyle w:val="Compact"/>
      </w:pPr>
      <w:r>
        <w:t xml:space="preserve">Online-to-Offline (O2O) Sales Mix: 67% online orders fulfilled via physical chemist stores</w:t>
      </w:r>
    </w:p>
    <w:p>
      <w:pPr>
        <w:numPr>
          <w:ilvl w:val="0"/>
          <w:numId w:val="1003"/>
        </w:numPr>
        <w:pStyle w:val="Compact"/>
      </w:pPr>
      <w:r>
        <w:t xml:space="preserve">Customer Satisfaction Score (Shanghai): 4.8/5.0 (Industry Avg: 4.1)</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Performance in China Shanghai</dc:title>
  <dc:creator/>
  <dc:language>en</dc:language>
  <cp:keywords/>
  <dcterms:created xsi:type="dcterms:W3CDTF">2026-07-23T01:22:20Z</dcterms:created>
  <dcterms:modified xsi:type="dcterms:W3CDTF">2026-07-23T01:22:20Z</dcterms:modified>
</cp:coreProperties>
</file>

<file path=docProps/custom.xml><?xml version="1.0" encoding="utf-8"?>
<Properties xmlns="http://schemas.openxmlformats.org/officeDocument/2006/custom-properties" xmlns:vt="http://schemas.openxmlformats.org/officeDocument/2006/docPropsVTypes"/>
</file>