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Pharmaceutical</w:t>
      </w:r>
      <w:r>
        <w:t xml:space="preserve"> </w:t>
      </w:r>
      <w:r>
        <w:t xml:space="preserve">Performance</w:t>
      </w:r>
      <w:r>
        <w:t xml:space="preserve"> </w:t>
      </w:r>
      <w:r>
        <w:t xml:space="preserve">Analysis</w:t>
      </w:r>
      <w:r>
        <w:t xml:space="preserve"> </w:t>
      </w:r>
      <w:r>
        <w:t xml:space="preserve">-</w:t>
      </w:r>
      <w:r>
        <w:t xml:space="preserve"> </w:t>
      </w:r>
      <w:r>
        <w:t xml:space="preserve">Bogotá,</w:t>
      </w:r>
      <w:r>
        <w:t xml:space="preserve"> </w:t>
      </w:r>
      <w:r>
        <w:t xml:space="preserve">Colombia</w:t>
      </w:r>
    </w:p>
    <w:bookmarkStart w:id="27" w:name="X10c1a26ca08ddb2048d941f418bdedc59351283"/>
    <w:p>
      <w:pPr>
        <w:pStyle w:val="Heading1"/>
      </w:pPr>
      <w:r>
        <w:t xml:space="preserve">Quarterly Sales Report: Premium Chemist Retail Operations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Distributors &amp; Stakeholders</w:t>
      </w:r>
      <w:r>
        <w:br/>
      </w:r>
      <w:r>
        <w:rPr>
          <w:bCs/>
          <w:b/>
        </w:rPr>
        <w:t xml:space="preserve">Location:</w:t>
      </w:r>
      <w:r>
        <w:t xml:space="preserve"> </w:t>
      </w:r>
      <w:r>
        <w:t xml:space="preserve">Bogotá, Colombia</w:t>
      </w:r>
    </w:p>
    <w:bookmarkStart w:id="20" w:name="i.-executive-summary"/>
    <w:p>
      <w:pPr>
        <w:pStyle w:val="Heading2"/>
      </w:pPr>
      <w:r>
        <w:t xml:space="preserve">I. Executive Summary</w:t>
      </w:r>
    </w:p>
    <w:p>
      <w:pPr>
        <w:pStyle w:val="FirstParagraph"/>
      </w:pPr>
      <w:r>
        <w:t xml:space="preserve">This Sales Report provides a comprehensive analysis of retail performance for our premium chemist network across Colombia Bogotá during Q3 2023 (July 1 - September 30). The report confirms a sustained upward trajectory in sales volume and market share, with Bogotá-based chemist outlets contributing 68% of total national revenue. Despite regional economic pressures, our strategic focus on specialized pharmaceutical services has positioned us as Bogotá's most trusted chemist brand for both over-the-counter (OTC) and prescription medication needs.</w:t>
      </w:r>
    </w:p>
    <w:bookmarkEnd w:id="20"/>
    <w:bookmarkStart w:id="21" w:name="Xbca4ccb0e218c343fef924533361f0d5ee82fbb"/>
    <w:p>
      <w:pPr>
        <w:pStyle w:val="Heading2"/>
      </w:pPr>
      <w:r>
        <w:t xml:space="preserve">II. Current Sales Performance (Bogotá Market)</w:t>
      </w:r>
    </w:p>
    <w:p>
      <w:pPr>
        <w:pStyle w:val="FirstParagraph"/>
      </w:pPr>
      <w:r>
        <w:t xml:space="preserve">Our chemist outlets in Colombia's capital recorded a 14.7% year-over-year revenue increase, totaling COP 895 million ($203,000 USD) for Q3. This outperforms the national pharmaceutical market average of 9.2%. Key drivers include:</w:t>
      </w:r>
    </w:p>
    <w:p>
      <w:pPr>
        <w:numPr>
          <w:ilvl w:val="0"/>
          <w:numId w:val="1001"/>
        </w:numPr>
        <w:pStyle w:val="Compact"/>
      </w:pPr>
      <w:r>
        <w:rPr>
          <w:bCs/>
          <w:b/>
        </w:rPr>
        <w:t xml:space="preserve">Prescription Medication Growth:</w:t>
      </w:r>
      <w:r>
        <w:t xml:space="preserve"> </w:t>
      </w:r>
      <w:r>
        <w:t xml:space="preserve">+18.3% (Driven by chronic condition management programs)</w:t>
      </w:r>
    </w:p>
    <w:p>
      <w:pPr>
        <w:numPr>
          <w:ilvl w:val="0"/>
          <w:numId w:val="1001"/>
        </w:numPr>
        <w:pStyle w:val="Compact"/>
      </w:pPr>
      <w:r>
        <w:rPr>
          <w:bCs/>
          <w:b/>
        </w:rPr>
        <w:t xml:space="preserve">OTC Healthcare Products:</w:t>
      </w:r>
      <w:r>
        <w:t xml:space="preserve"> </w:t>
      </w:r>
      <w:r>
        <w:t xml:space="preserve">+12.1% (Vitamins, respiratory care, and dermatology lines)</w:t>
      </w:r>
    </w:p>
    <w:p>
      <w:pPr>
        <w:numPr>
          <w:ilvl w:val="0"/>
          <w:numId w:val="1001"/>
        </w:numPr>
        <w:pStyle w:val="Compact"/>
      </w:pPr>
      <w:r>
        <w:rPr>
          <w:bCs/>
          <w:b/>
        </w:rPr>
        <w:t xml:space="preserve">E-Commerce Integration:</w:t>
      </w:r>
      <w:r>
        <w:t xml:space="preserve"> </w:t>
      </w:r>
      <w:r>
        <w:t xml:space="preserve">35% of total sales now originate from our Bogotá-based mobile app, with same-day delivery in ZIP codes 11000-11049</w:t>
      </w:r>
    </w:p>
    <w:p>
      <w:pPr>
        <w:pStyle w:val="FirstParagraph"/>
      </w:pPr>
      <w:r>
        <w:t xml:space="preserve">Notably, our chemist locations in La Candelaria and Chapinero districts achieved 22% YoY growth through personalized health consultations—directly aligning with Colombia Bogotá's urban healthcare access initiatives. This performance underscores the strategic importance of our physical chemist presence within Colombia's densely populated metropolitan center.</w:t>
      </w:r>
    </w:p>
    <w:bookmarkEnd w:id="21"/>
    <w:bookmarkStart w:id="22" w:name="iii.-market-analysis-why-bogotá-matters"/>
    <w:p>
      <w:pPr>
        <w:pStyle w:val="Heading2"/>
      </w:pPr>
      <w:r>
        <w:t xml:space="preserve">III. Market Analysis: Why Bogotá Matters</w:t>
      </w:r>
    </w:p>
    <w:p>
      <w:pPr>
        <w:pStyle w:val="FirstParagraph"/>
      </w:pPr>
      <w:r>
        <w:t xml:space="preserve">Bogotá represents 37% of Colombia's total pharmaceutical market, making it the single most critical urban hub for chemist retail operations. Our data reveals three pivotal trends:</w:t>
      </w:r>
    </w:p>
    <w:p>
      <w:pPr>
        <w:numPr>
          <w:ilvl w:val="0"/>
          <w:numId w:val="1002"/>
        </w:numPr>
        <w:pStyle w:val="Compact"/>
      </w:pPr>
      <w:r>
        <w:rPr>
          <w:bCs/>
          <w:b/>
        </w:rPr>
        <w:t xml:space="preserve">Demographic Shifts:</w:t>
      </w:r>
      <w:r>
        <w:t xml:space="preserve"> </w:t>
      </w:r>
      <w:r>
        <w:t xml:space="preserve">Bogotá's aging population (24% over 60) increased demand for geriatric medications by 29% in Q3, creating a white space our chemist network capitalized on.</w:t>
      </w:r>
    </w:p>
    <w:p>
      <w:pPr>
        <w:numPr>
          <w:ilvl w:val="0"/>
          <w:numId w:val="1002"/>
        </w:numPr>
        <w:pStyle w:val="Compact"/>
      </w:pPr>
      <w:r>
        <w:rPr>
          <w:bCs/>
          <w:b/>
        </w:rPr>
        <w:t xml:space="preserve">Regulatory Alignment:</w:t>
      </w:r>
      <w:r>
        <w:t xml:space="preserve"> </w:t>
      </w:r>
      <w:r>
        <w:t xml:space="preserve">Colombian Ministry of Health's new "Farmacia Digital" initiative (effective Jan 2023) streamlined prescription digitization—our Bogotá chemist outlets were first to integrate the platform, reducing patient wait times by 41%.</w:t>
      </w:r>
    </w:p>
    <w:p>
      <w:pPr>
        <w:numPr>
          <w:ilvl w:val="0"/>
          <w:numId w:val="1002"/>
        </w:numPr>
        <w:pStyle w:val="Compact"/>
      </w:pPr>
      <w:r>
        <w:rPr>
          <w:bCs/>
          <w:b/>
        </w:rPr>
        <w:t xml:space="preserve">Competitive Landscape:</w:t>
      </w:r>
      <w:r>
        <w:t xml:space="preserve"> </w:t>
      </w:r>
      <w:r>
        <w:t xml:space="preserve">Local pharmacy chains lost market share (-5.7%) due to inconsistent OTC inventory; our chemist network maintained 98.2% product availability across all Bogotá locations.</w:t>
      </w:r>
    </w:p>
    <w:p>
      <w:pPr>
        <w:pStyle w:val="FirstParagraph"/>
      </w:pPr>
      <w:r>
        <w:t xml:space="preserve">This market positioning confirms that specialized chemist operations—not generic drugstores—are the future of pharmaceutical retail in Colombia Bogotá.</w:t>
      </w:r>
    </w:p>
    <w:bookmarkEnd w:id="22"/>
    <w:bookmarkStart w:id="23" w:name="iv.-operational-challenges-solutions"/>
    <w:p>
      <w:pPr>
        <w:pStyle w:val="Heading2"/>
      </w:pPr>
      <w:r>
        <w:t xml:space="preserve">IV. Operational Challenges &amp; Solutions</w:t>
      </w:r>
    </w:p>
    <w:p>
      <w:pPr>
        <w:pStyle w:val="FirstParagraph"/>
      </w:pPr>
      <w:r>
        <w:t xml:space="preserve">Despite growth, our chemist outlets faced unique Bogotá-specific obstacles:</w:t>
      </w:r>
    </w:p>
    <w:p>
      <w:pPr>
        <w:pStyle w:val="BodyText"/>
      </w:pPr>
      <w:r>
        <w:t xml:space="preserve">Challenge</w:t>
      </w:r>
    </w:p>
    <w:p>
      <w:pPr>
        <w:pStyle w:val="BodyText"/>
      </w:pPr>
      <w:r>
        <w:t xml:space="preserve">Impact in Colombia Bogotá</w:t>
      </w:r>
    </w:p>
    <w:p>
      <w:pPr>
        <w:pStyle w:val="BodyText"/>
      </w:pPr>
      <w:r>
        <w:t xml:space="preserve">Solution Implemented</w:t>
      </w:r>
    </w:p>
    <w:p>
      <w:pPr>
        <w:pStyle w:val="BodyText"/>
      </w:pPr>
      <w:r>
        <w:t xml:space="preserve">Urban Traffic Congestion (Peak Hours)</w:t>
      </w:r>
    </w:p>
    <w:p>
      <w:pPr>
        <w:pStyle w:val="BodyText"/>
      </w:pPr>
      <w:r>
        <w:t xml:space="preserve">27% average delivery delay during 8-10 AM rush hours</w:t>
      </w:r>
    </w:p>
    <w:p>
      <w:pPr>
        <w:pStyle w:val="BodyText"/>
      </w:pPr>
      <w:r>
        <w:t xml:space="preserve">Launched "Pharmacy Express" micro-fulfillment centers in Bogotá's Zona T; reduced delivery windows to 35 mins</w:t>
      </w:r>
    </w:p>
    <w:p>
      <w:pPr>
        <w:pStyle w:val="BodyText"/>
      </w:pPr>
      <w:r>
        <w:t xml:space="preserve">Seasonal Demand Spikes (Flu Season)</w:t>
      </w:r>
    </w:p>
    <w:p>
      <w:pPr>
        <w:pStyle w:val="BodyText"/>
      </w:pPr>
      <w:r>
        <w:t xml:space="preserve">OTC stockouts increased by 31% during July-August</w:t>
      </w:r>
    </w:p>
    <w:p>
      <w:pPr>
        <w:pStyle w:val="BodyText"/>
      </w:pPr>
      <w:r>
        <w:t xml:space="preserve">Implemented AI-driven inventory system calibrated for Bogotá's climate patterns; achieved 94% stock availability</w:t>
      </w:r>
    </w:p>
    <w:p>
      <w:pPr>
        <w:pStyle w:val="BodyText"/>
      </w:pPr>
      <w:r>
        <w:t xml:space="preserve">Consumer Trust Gaps in OTC Recommendations</w:t>
      </w:r>
    </w:p>
    <w:p>
      <w:pPr>
        <w:pStyle w:val="BodyText"/>
      </w:pPr>
      <w:r>
        <w:t xml:space="preserve">38% of customers chose competitors for basic health queries</w:t>
      </w:r>
    </w:p>
    <w:p>
      <w:pPr>
        <w:pStyle w:val="BodyText"/>
      </w:pPr>
      <w:r>
        <w:rPr>
          <w:bCs/>
          <w:b/>
        </w:rPr>
        <w:t xml:space="preserve">Chemist Consultation Program:</w:t>
      </w:r>
      <w:r>
        <w:t xml:space="preserve"> </w:t>
      </w:r>
      <w:r>
        <w:t xml:space="preserve">Trained 42 pharmacists at Bogotá locations to offer free 15-min "Health Check-Ins" (reduced churn by 26%)</w:t>
      </w:r>
    </w:p>
    <w:bookmarkEnd w:id="23"/>
    <w:bookmarkStart w:id="24" w:name="v.-strategic-initiatives-driving-growth"/>
    <w:p>
      <w:pPr>
        <w:pStyle w:val="Heading2"/>
      </w:pPr>
      <w:r>
        <w:t xml:space="preserve">V. Strategic Initiatives Driving Growth</w:t>
      </w:r>
    </w:p>
    <w:p>
      <w:pPr>
        <w:pStyle w:val="FirstParagraph"/>
      </w:pPr>
      <w:r>
        <w:t xml:space="preserve">Our success in Colombia Bogotá stems from three pillars directly tied to chemist excellence:</w:t>
      </w:r>
    </w:p>
    <w:p>
      <w:pPr>
        <w:numPr>
          <w:ilvl w:val="0"/>
          <w:numId w:val="1003"/>
        </w:numPr>
        <w:pStyle w:val="Compact"/>
      </w:pPr>
      <w:r>
        <w:rPr>
          <w:bCs/>
          <w:b/>
        </w:rPr>
        <w:t xml:space="preserve">Community Health Partnerships:</w:t>
      </w:r>
      <w:r>
        <w:t xml:space="preserve"> </w:t>
      </w:r>
      <w:r>
        <w:t xml:space="preserve">Collaborated with 17 public clinics across Bogotá (e.g., Hospital San José, IPS Unimed) to co-host vaccination drives. This generated 2,400 new patient relationships for our chemist network.</w:t>
      </w:r>
    </w:p>
    <w:p>
      <w:pPr>
        <w:numPr>
          <w:ilvl w:val="0"/>
          <w:numId w:val="1003"/>
        </w:numPr>
        <w:pStyle w:val="Compact"/>
      </w:pPr>
      <w:r>
        <w:rPr>
          <w:bCs/>
          <w:b/>
        </w:rPr>
        <w:t xml:space="preserve">Tailored Product Assortment:</w:t>
      </w:r>
      <w:r>
        <w:t xml:space="preserve"> </w:t>
      </w:r>
      <w:r>
        <w:t xml:space="preserve">Introduced Colombia-specific formulations (e.g., high-altitude adaptation vitamins for Bogotá's 2,640m elevation) increasing basket size by 19%.</w:t>
      </w:r>
    </w:p>
    <w:p>
      <w:pPr>
        <w:numPr>
          <w:ilvl w:val="0"/>
          <w:numId w:val="1003"/>
        </w:numPr>
        <w:pStyle w:val="Compact"/>
      </w:pPr>
      <w:r>
        <w:rPr>
          <w:bCs/>
          <w:b/>
        </w:rPr>
        <w:t xml:space="preserve">Sustainability Integration:</w:t>
      </w:r>
      <w:r>
        <w:t xml:space="preserve"> </w:t>
      </w:r>
      <w:r>
        <w:t xml:space="preserve">Launched "Eco-Chemist" initiative—recycling programs at all Bogotá locations reduced packaging costs by 18% while appealing to environmentally conscious consumers.</w:t>
      </w:r>
    </w:p>
    <w:bookmarkEnd w:id="24"/>
    <w:bookmarkStart w:id="25" w:name="vi.-future-outlook-recommendations"/>
    <w:p>
      <w:pPr>
        <w:pStyle w:val="Heading2"/>
      </w:pPr>
      <w:r>
        <w:t xml:space="preserve">VI. Future Outlook &amp; Recommendations</w:t>
      </w:r>
    </w:p>
    <w:p>
      <w:pPr>
        <w:pStyle w:val="FirstParagraph"/>
      </w:pPr>
      <w:r>
        <w:t xml:space="preserve">Based on Q3 performance, we project 18-20% annual growth for chemist operations in Colombia Bogotá through 2024. Critical next steps include:</w:t>
      </w:r>
    </w:p>
    <w:p>
      <w:pPr>
        <w:numPr>
          <w:ilvl w:val="0"/>
          <w:numId w:val="1004"/>
        </w:numPr>
        <w:pStyle w:val="Compact"/>
      </w:pPr>
      <w:r>
        <w:rPr>
          <w:bCs/>
          <w:b/>
        </w:rPr>
        <w:t xml:space="preserve">Expand Telepharmacy Services:</w:t>
      </w:r>
      <w:r>
        <w:t xml:space="preserve"> </w:t>
      </w:r>
      <w:r>
        <w:t xml:space="preserve">Partner with Colombian telehealth platform "Médico Online" to integrate virtual consultations at all Bogotá chemist locations by Q1 2024.</w:t>
      </w:r>
    </w:p>
    <w:p>
      <w:pPr>
        <w:numPr>
          <w:ilvl w:val="0"/>
          <w:numId w:val="1004"/>
        </w:numPr>
        <w:pStyle w:val="Compact"/>
      </w:pPr>
      <w:r>
        <w:rPr>
          <w:bCs/>
          <w:b/>
        </w:rPr>
        <w:t xml:space="preserve">Target New Neighborhoods:</w:t>
      </w:r>
      <w:r>
        <w:t xml:space="preserve"> </w:t>
      </w:r>
      <w:r>
        <w:t xml:space="preserve">Open two new chemist outlets in rapidly growing areas of Bogotá (Usaquén and Suba) where current market penetration is below 40%.</w:t>
      </w:r>
    </w:p>
    <w:p>
      <w:pPr>
        <w:numPr>
          <w:ilvl w:val="0"/>
          <w:numId w:val="1004"/>
        </w:numPr>
        <w:pStyle w:val="Compact"/>
      </w:pPr>
      <w:r>
        <w:rPr>
          <w:bCs/>
          <w:b/>
        </w:rPr>
        <w:t xml:space="preserve">Enhance Data Analytics:</w:t>
      </w:r>
      <w:r>
        <w:t xml:space="preserve"> </w:t>
      </w:r>
      <w:r>
        <w:t xml:space="preserve">Deploy predictive modeling for Bogotá-specific demand patterns—projected to reduce stockouts by 35%.</w:t>
      </w:r>
    </w:p>
    <w:p>
      <w:pPr>
        <w:pStyle w:val="FirstParagraph"/>
      </w:pPr>
      <w:r>
        <w:t xml:space="preserve">The Sales Report confirms that investing in specialized chemist infrastructure within Colombia Bogotá isn't merely advantageous—it's essential for sustainable market leadership. As Colombia's capital continues its urban healthcare modernization, our data-driven approach positions us as the preferred partner for both consumers and health institutions.</w:t>
      </w:r>
    </w:p>
    <w:bookmarkEnd w:id="25"/>
    <w:bookmarkStart w:id="26" w:name="vii.-conclusion"/>
    <w:p>
      <w:pPr>
        <w:pStyle w:val="Heading2"/>
      </w:pPr>
      <w:r>
        <w:t xml:space="preserve">VII. Conclusion</w:t>
      </w:r>
    </w:p>
    <w:p>
      <w:pPr>
        <w:pStyle w:val="FirstParagraph"/>
      </w:pPr>
      <w:r>
        <w:t xml:space="preserve">This Quarterly Sales Report demonstrates that our chemist network in Colombia Bogotá has successfully navigated regional challenges while exceeding growth targets. The strategic integration of digital services, community engagement, and localized product innovation has solidified our status as Bogotá's most customer-centric chemist brand. We recommend doubling down on these initiatives to capture 30% market share in the city by 2025—setting a benchmark for pharmaceutical retail excellence across all of Colombia.</w:t>
      </w:r>
    </w:p>
    <w:p>
      <w:pPr>
        <w:pStyle w:val="BodyText"/>
      </w:pPr>
      <w:r>
        <w:rPr>
          <w:bCs/>
          <w:b/>
        </w:rPr>
        <w:t xml:space="preserve">Prepared By:</w:t>
      </w:r>
      <w:r>
        <w:t xml:space="preserve"> </w:t>
      </w:r>
      <w:r>
        <w:t xml:space="preserve">María López, Regional Sales Director</w:t>
      </w:r>
      <w:r>
        <w:br/>
      </w:r>
      <w:r>
        <w:rPr>
          <w:bCs/>
          <w:b/>
        </w:rPr>
        <w:t xml:space="preserve">Contact:</w:t>
      </w:r>
      <w:r>
        <w:t xml:space="preserve"> </w:t>
      </w:r>
      <w:r>
        <w:t xml:space="preserve">maria.lopez@chemistcolombia.co | +57 1 XXX-XXXX</w:t>
      </w:r>
    </w:p>
    <w:p>
      <w:r>
        <w:pict>
          <v:rect style="width:0;height:1.5pt" o:hralign="center" o:hrstd="t" o:hr="t"/>
        </w:pict>
      </w:r>
    </w:p>
    <w:p>
      <w:pPr>
        <w:pStyle w:val="FirstParagraph"/>
      </w:pPr>
      <w:r>
        <w:rPr>
          <w:iCs/>
          <w:i/>
        </w:rPr>
        <w:t xml:space="preserve">This Sales Report is confidential and proprietary to Chemist Colombia S.A.S. Distribution of this document without written permission is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Pharmaceutical Performance Analysis - Bogotá, Colombia</dc:title>
  <dc:creator/>
  <dc:language>en</dc:language>
  <cp:keywords/>
  <dcterms:created xsi:type="dcterms:W3CDTF">2026-07-23T10:17:35Z</dcterms:created>
  <dcterms:modified xsi:type="dcterms:W3CDTF">2026-07-23T10:17:35Z</dcterms:modified>
</cp:coreProperties>
</file>

<file path=docProps/custom.xml><?xml version="1.0" encoding="utf-8"?>
<Properties xmlns="http://schemas.openxmlformats.org/officeDocument/2006/custom-properties" xmlns:vt="http://schemas.openxmlformats.org/officeDocument/2006/docPropsVTypes"/>
</file>