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Operations</w:t>
      </w:r>
      <w:r>
        <w:t xml:space="preserve"> </w:t>
      </w:r>
      <w:r>
        <w:t xml:space="preserve">in</w:t>
      </w:r>
      <w:r>
        <w:t xml:space="preserve"> </w:t>
      </w:r>
      <w:r>
        <w:t xml:space="preserve">Colombia</w:t>
      </w:r>
      <w:r>
        <w:t xml:space="preserve"> </w:t>
      </w:r>
      <w:r>
        <w:t xml:space="preserve">Medellín</w:t>
      </w:r>
    </w:p>
    <w:bookmarkStart w:id="25" w:name="X992393211192062909ccc3d5b5ead00758ac2d5"/>
    <w:p>
      <w:pPr>
        <w:pStyle w:val="Heading1"/>
      </w:pPr>
      <w:r>
        <w:t xml:space="preserve">Q3 2024 Sales Performance Report for Chemist Network in Colombia Medellín</w:t>
      </w:r>
    </w:p>
    <w:p>
      <w:pPr>
        <w:pStyle w:val="FirstParagraph"/>
      </w:pPr>
      <w:r>
        <w:t xml:space="preserve">This comprehensive Sales Report details the operational and commercial performance of our</w:t>
      </w:r>
      <w:r>
        <w:t xml:space="preserve"> </w:t>
      </w:r>
      <w:r>
        <w:t xml:space="preserve">Chemist</w:t>
      </w:r>
      <w:r>
        <w:t xml:space="preserve"> </w:t>
      </w:r>
      <w:r>
        <w:t xml:space="preserve">retail network across the vibrant city of Medellín, Colombia. As a leading pharmaceutical retailer deeply embedded in the healthcare ecosystem of Antioquia Department, this report analyzes key metrics from July to September 2024, highlighting market dynamics specific to</w:t>
      </w:r>
      <w:r>
        <w:t xml:space="preserve"> </w:t>
      </w:r>
      <w:r>
        <w:t xml:space="preserve">Colombia Medellín</w:t>
      </w:r>
      <w:r>
        <w:t xml:space="preserve">. The data underscores how local healthcare needs, cultural factors, and regional economic conditions uniquely shape our</w:t>
      </w:r>
      <w:r>
        <w:t xml:space="preserve"> </w:t>
      </w:r>
      <w:r>
        <w:t xml:space="preserve">Chemist</w:t>
      </w:r>
      <w:r>
        <w:t xml:space="preserve"> </w:t>
      </w:r>
      <w:r>
        <w:t xml:space="preserve">business model.</w:t>
      </w:r>
    </w:p>
    <w:bookmarkStart w:id="20" w:name="X0c72cf88e2a019109f6f97916cb3b4407670813"/>
    <w:p>
      <w:pPr>
        <w:pStyle w:val="Heading2"/>
      </w:pPr>
      <w:r>
        <w:t xml:space="preserve">Market Context: Healthcare Landscape in Colombia Medellín</w:t>
      </w:r>
    </w:p>
    <w:p>
      <w:pPr>
        <w:pStyle w:val="FirstParagraph"/>
      </w:pPr>
      <w:r>
        <w:t xml:space="preserve">Medellín, often celebrated as the "City of Eternal Spring," presents a distinctive market for pharmaceutical retailers. With a population exceeding 2.5 million and serving as the economic hub of Antioquia, our</w:t>
      </w:r>
      <w:r>
        <w:t xml:space="preserve"> </w:t>
      </w:r>
      <w:r>
        <w:t xml:space="preserve">Chemist</w:t>
      </w:r>
      <w:r>
        <w:t xml:space="preserve"> </w:t>
      </w:r>
      <w:r>
        <w:t xml:space="preserve">locations face dynamic consumer demands influenced by climate patterns, public health initiatives (like Colombia's recent</w:t>
      </w:r>
      <w:r>
        <w:t xml:space="preserve"> </w:t>
      </w:r>
      <w:r>
        <w:rPr>
          <w:iCs/>
          <w:i/>
        </w:rPr>
        <w:t xml:space="preserve">Servicio de Salud</w:t>
      </w:r>
      <w:r>
        <w:t xml:space="preserve"> </w:t>
      </w:r>
      <w:r>
        <w:t xml:space="preserve">expansion), and socio-economic diversity. The city’s healthcare infrastructure includes over 100 pharmacies per 100,000 residents—among the highest in Colombia—demanding strategic differentiation for</w:t>
      </w:r>
      <w:r>
        <w:t xml:space="preserve"> </w:t>
      </w:r>
      <w:r>
        <w:t xml:space="preserve">Chemist</w:t>
      </w:r>
      <w:r>
        <w:t xml:space="preserve"> </w:t>
      </w:r>
      <w:r>
        <w:t xml:space="preserve">brands. In Q3 2024, Medellín saw a 7% rise in prescription drug utilization due to seasonal respiratory illnesses, directly impacting our core sales categories.</w:t>
      </w:r>
    </w:p>
    <w:bookmarkEnd w:id="20"/>
    <w:bookmarkStart w:id="21" w:name="q3-2024-sales-performance-analysis"/>
    <w:p>
      <w:pPr>
        <w:pStyle w:val="Heading2"/>
      </w:pPr>
      <w:r>
        <w:t xml:space="preserve">Q3 2024 Sales Performance Analysis</w:t>
      </w:r>
    </w:p>
    <w:p>
      <w:pPr>
        <w:pStyle w:val="FirstParagraph"/>
      </w:pPr>
      <w:r>
        <w:t xml:space="preserve">The</w:t>
      </w:r>
      <w:r>
        <w:t xml:space="preserve"> </w:t>
      </w:r>
      <w:r>
        <w:t xml:space="preserve">Chemist</w:t>
      </w:r>
      <w:r>
        <w:t xml:space="preserve"> </w:t>
      </w:r>
      <w:r>
        <w:t xml:space="preserve">network in Colombia Medellín achieved a total revenue of COP 18.7 billion (approx. $4.1M USD) during Q3, marking a 12.3% year-over-year growth despite inflationary pressures across Antioquia’s economy. This outperforms the national pharmaceutical market average of 8%, positioning our</w:t>
      </w:r>
      <w:r>
        <w:t xml:space="preserve"> </w:t>
      </w:r>
      <w:r>
        <w:t xml:space="preserve">Chemist</w:t>
      </w:r>
      <w:r>
        <w:t xml:space="preserve"> </w:t>
      </w:r>
      <w:r>
        <w:t xml:space="preserve">operations as a regional leader.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Q3 2024 Revenue (COP)</w:t>
            </w:r>
          </w:p>
        </w:tc>
        <w:tc>
          <w:tcPr/>
          <w:p>
            <w:pPr>
              <w:pStyle w:val="Compact"/>
              <w:jc w:val="left"/>
            </w:pPr>
            <w:r>
              <w:t xml:space="preserve">YoY Growth (%)</w:t>
            </w:r>
          </w:p>
        </w:tc>
        <w:tc>
          <w:tcPr/>
          <w:p>
            <w:pPr>
              <w:pStyle w:val="Compact"/>
              <w:jc w:val="left"/>
            </w:pPr>
            <w:r>
              <w:t xml:space="preserve">Key Market Driver in Medellín</w:t>
            </w:r>
          </w:p>
        </w:tc>
      </w:tr>
      <w:tr>
        <w:tc>
          <w:tcPr/>
          <w:p>
            <w:pPr>
              <w:pStyle w:val="Compact"/>
              <w:jc w:val="left"/>
            </w:pPr>
            <w:r>
              <w:t xml:space="preserve">Prescription Pharmaceuticals</w:t>
            </w:r>
          </w:p>
        </w:tc>
        <w:tc>
          <w:tcPr/>
          <w:p>
            <w:pPr>
              <w:pStyle w:val="Compact"/>
              <w:jc w:val="left"/>
            </w:pPr>
            <w:r>
              <w:t xml:space="preserve">10,850,000,000</w:t>
            </w:r>
          </w:p>
        </w:tc>
        <w:tc>
          <w:tcPr/>
          <w:p>
            <w:pPr>
              <w:pStyle w:val="Compact"/>
              <w:jc w:val="left"/>
            </w:pPr>
            <w:r>
              <w:t xml:space="preserve">14.2%</w:t>
            </w:r>
          </w:p>
        </w:tc>
        <w:tc>
          <w:tcPr/>
          <w:p>
            <w:pPr>
              <w:pStyle w:val="Compact"/>
              <w:jc w:val="left"/>
            </w:pPr>
            <w:r>
              <w:t xml:space="preserve">Rising chronic disease management (hypertension/diabetes) + INVIMA-approved new formulations</w:t>
            </w:r>
          </w:p>
        </w:tc>
      </w:tr>
      <w:tr>
        <w:tc>
          <w:tcPr/>
          <w:p>
            <w:pPr>
              <w:pStyle w:val="Compact"/>
              <w:jc w:val="left"/>
            </w:pPr>
            <w:r>
              <w:t xml:space="preserve">OTC Medications &amp; Vitamins</w:t>
            </w:r>
          </w:p>
        </w:tc>
        <w:tc>
          <w:tcPr/>
          <w:p>
            <w:pPr>
              <w:pStyle w:val="Compact"/>
              <w:jc w:val="left"/>
            </w:pPr>
            <w:r>
              <w:t xml:space="preserve">5,200,000,000</w:t>
            </w:r>
          </w:p>
        </w:tc>
        <w:tc>
          <w:tcPr/>
          <w:p>
            <w:pPr>
              <w:pStyle w:val="Compact"/>
              <w:jc w:val="left"/>
            </w:pPr>
            <w:r>
              <w:t xml:space="preserve">9.8%</w:t>
            </w:r>
          </w:p>
        </w:tc>
        <w:tc>
          <w:tcPr/>
          <w:p>
            <w:pPr>
              <w:pStyle w:val="Compact"/>
              <w:jc w:val="left"/>
            </w:pPr>
            <w:r>
              <w:t xml:space="preserve">Increased wellness awareness in Medellín’s middle-class neighborhoods (e.g., El Poblado)</w:t>
            </w:r>
          </w:p>
        </w:tc>
      </w:tr>
      <w:tr>
        <w:tc>
          <w:tcPr/>
          <w:p>
            <w:pPr>
              <w:pStyle w:val="Compact"/>
              <w:jc w:val="left"/>
            </w:pPr>
            <w:r>
              <w:t xml:space="preserve">Personal Care &amp; Cosmetics</w:t>
            </w:r>
          </w:p>
        </w:tc>
        <w:tc>
          <w:tcPr/>
          <w:p>
            <w:pPr>
              <w:pStyle w:val="Compact"/>
              <w:jc w:val="left"/>
            </w:pPr>
            <w:r>
              <w:t xml:space="preserve">2,100,000,000</w:t>
            </w:r>
          </w:p>
        </w:tc>
        <w:tc>
          <w:tcPr/>
          <w:p>
            <w:pPr>
              <w:pStyle w:val="Compact"/>
              <w:jc w:val="left"/>
            </w:pPr>
            <w:r>
              <w:t xml:space="preserve">15.6%</w:t>
            </w:r>
          </w:p>
        </w:tc>
        <w:tc>
          <w:tcPr/>
          <w:p>
            <w:pPr>
              <w:pStyle w:val="Compact"/>
              <w:jc w:val="left"/>
            </w:pPr>
            <w:r>
              <w:t xml:space="preserve">Demand driven by seasonal humidity in Colombia Medellín (July-September)</w:t>
            </w:r>
          </w:p>
        </w:tc>
      </w:tr>
      <w:tr>
        <w:tc>
          <w:tcPr/>
          <w:p>
            <w:pPr>
              <w:pStyle w:val="Compact"/>
              <w:jc w:val="left"/>
            </w:pPr>
            <w:r>
              <w:t xml:space="preserve">Medical Supplies &amp; Devices</w:t>
            </w:r>
          </w:p>
        </w:tc>
        <w:tc>
          <w:tcPr/>
          <w:p>
            <w:pPr>
              <w:pStyle w:val="Compact"/>
              <w:jc w:val="left"/>
            </w:pPr>
            <w:r>
              <w:t xml:space="preserve">650,000,000</w:t>
            </w:r>
          </w:p>
        </w:tc>
        <w:tc>
          <w:tcPr/>
          <w:p>
            <w:pPr>
              <w:pStyle w:val="Compact"/>
              <w:jc w:val="left"/>
            </w:pPr>
            <w:r>
              <w:t xml:space="preserve">22.4%</w:t>
            </w:r>
          </w:p>
        </w:tc>
        <w:tc>
          <w:tcPr/>
          <w:p>
            <w:pPr>
              <w:pStyle w:val="Compact"/>
              <w:jc w:val="left"/>
            </w:pPr>
            <w:r>
              <w:t xml:space="preserve">Growth from elderly care initiatives in Comuna 13 and La América districts</w:t>
            </w:r>
          </w:p>
        </w:tc>
      </w:tr>
    </w:tbl>
    <w:p>
      <w:pPr>
        <w:pStyle w:val="BodyText"/>
      </w:pPr>
      <w:r>
        <w:t xml:space="preserve">The standout performer was Medical Supplies &amp; Devices, growing 22.4% due to Medellín’s new municipal healthcare program for senior citizens. This initiative, launched in July 2024 by the Medellín City Council, has significantly boosted demand for blood pressure monitors and mobility aids across our</w:t>
      </w:r>
      <w:r>
        <w:t xml:space="preserve"> </w:t>
      </w:r>
      <w:r>
        <w:t xml:space="preserve">Chemist</w:t>
      </w:r>
      <w:r>
        <w:t xml:space="preserve"> </w:t>
      </w:r>
      <w:r>
        <w:t xml:space="preserve">outlets. Notably, sales in high-density urban zones like El Centro and Santo Domingo showed 18% higher conversion rates than suburban areas, reflecting Medellín’s concentrated population centers.</w:t>
      </w:r>
    </w:p>
    <w:bookmarkEnd w:id="21"/>
    <w:bookmarkStart w:id="22" w:name="X7c6d6f73a865a9da7822f9da9300f355f3fd61f"/>
    <w:p>
      <w:pPr>
        <w:pStyle w:val="Heading2"/>
      </w:pPr>
      <w:r>
        <w:t xml:space="preserve">Regional Factors Impacting Chemist Sales in Colombia Medellín</w:t>
      </w:r>
    </w:p>
    <w:p>
      <w:pPr>
        <w:pStyle w:val="FirstParagraph"/>
      </w:pPr>
      <w:r>
        <w:t xml:space="preserve">Several unique factors define sales performance for our</w:t>
      </w:r>
      <w:r>
        <w:t xml:space="preserve"> </w:t>
      </w:r>
      <w:r>
        <w:t xml:space="preserve">Chemist</w:t>
      </w:r>
      <w:r>
        <w:t xml:space="preserve"> </w:t>
      </w:r>
      <w:r>
        <w:t xml:space="preserve">operations in this city. First, the "Climatic Seasonality" of Medellín—where September marks the transition to drier weather—boosted sales of antihistamines and skin care products by 23% compared to Q2. Second, our strategic partnership with</w:t>
      </w:r>
      <w:r>
        <w:t xml:space="preserve"> </w:t>
      </w:r>
      <w:r>
        <w:rPr>
          <w:iCs/>
          <w:i/>
        </w:rPr>
        <w:t xml:space="preserve">IPS (Instituciones Prestadoras de Salud)</w:t>
      </w:r>
      <w:r>
        <w:t xml:space="preserve"> </w:t>
      </w:r>
      <w:r>
        <w:t xml:space="preserve">across Medellín’s public health network has enabled a 35% increase in prescription refills at our locations. Third, the recent expansion of the Medellín Metro (Line 1 extension to Bello) improved accessibility for patients in outlying areas, driving a 9% sales uplift in zones like Nutibara and Laureles.</w:t>
      </w:r>
    </w:p>
    <w:bookmarkEnd w:id="22"/>
    <w:bookmarkStart w:id="23" w:name="X260966d067302fd8366c899d1c29dfe36fe4e59"/>
    <w:p>
      <w:pPr>
        <w:pStyle w:val="Heading2"/>
      </w:pPr>
      <w:r>
        <w:t xml:space="preserve">Strategic Recommendations for Colombia Medellín Operations</w:t>
      </w:r>
    </w:p>
    <w:p>
      <w:pPr>
        <w:pStyle w:val="FirstParagraph"/>
      </w:pPr>
      <w:r>
        <w:t xml:space="preserve">To capitalize on Medellín’s market potential, we recommend three prioritized actions:</w:t>
      </w:r>
    </w:p>
    <w:p>
      <w:pPr>
        <w:numPr>
          <w:ilvl w:val="0"/>
          <w:numId w:val="1001"/>
        </w:numPr>
        <w:pStyle w:val="Compact"/>
      </w:pPr>
      <w:r>
        <w:rPr>
          <w:bCs/>
          <w:b/>
        </w:rPr>
        <w:t xml:space="preserve">Enhance Digital Integration for Chemist Retail:</w:t>
      </w:r>
      <w:r>
        <w:t xml:space="preserve"> </w:t>
      </w:r>
      <w:r>
        <w:t xml:space="preserve">Launch a WhatsApp-based prescription refill service tailored to Medellín’s high mobile penetration (92% smartphone usage). This addresses the city’s preference for digital convenience, observed in 68% of our pharmacy visits.</w:t>
      </w:r>
    </w:p>
    <w:p>
      <w:pPr>
        <w:numPr>
          <w:ilvl w:val="0"/>
          <w:numId w:val="1001"/>
        </w:numPr>
        <w:pStyle w:val="Compact"/>
      </w:pPr>
      <w:r>
        <w:rPr>
          <w:bCs/>
          <w:b/>
        </w:rPr>
        <w:t xml:space="preserve">Expand Wellness Focus in High-Demand Zones:</w:t>
      </w:r>
      <w:r>
        <w:t xml:space="preserve"> </w:t>
      </w:r>
      <w:r>
        <w:t xml:space="preserve">Deploy "Health &amp; Wellness Kiosks" at key locations like Parque Arvi and El Poblado shopping centers. Medellín consumers show 40% higher engagement with preventative health products in these affluent districts.</w:t>
      </w:r>
    </w:p>
    <w:p>
      <w:pPr>
        <w:numPr>
          <w:ilvl w:val="0"/>
          <w:numId w:val="1001"/>
        </w:numPr>
        <w:pStyle w:val="Compact"/>
      </w:pPr>
      <w:r>
        <w:rPr>
          <w:bCs/>
          <w:b/>
        </w:rPr>
        <w:t xml:space="preserve">Leverage Local Health Campaigns:</w:t>
      </w:r>
      <w:r>
        <w:t xml:space="preserve"> </w:t>
      </w:r>
      <w:r>
        <w:t xml:space="preserve">Partner with Colombia’s Ministry of Health on the "Medellín Healthy Aging Initiative" to co-host free screenings at</w:t>
      </w:r>
      <w:r>
        <w:t xml:space="preserve"> </w:t>
      </w:r>
      <w:r>
        <w:t xml:space="preserve">Chemist</w:t>
      </w:r>
      <w:r>
        <w:t xml:space="preserve"> </w:t>
      </w:r>
      <w:r>
        <w:t xml:space="preserve">locations. This aligns with Medellín's citywide health goals and builds trust in our brand as a community healthcare partner.</w:t>
      </w:r>
    </w:p>
    <w:p>
      <w:pPr>
        <w:pStyle w:val="FirstParagraph"/>
      </w:pPr>
      <w:r>
        <w:t xml:space="preserve">These strategies directly respond to the unique realities of Colombia Medellín, where community-centric healthcare models drive consumer loyalty. The success of our</w:t>
      </w:r>
      <w:r>
        <w:t xml:space="preserve"> </w:t>
      </w:r>
      <w:r>
        <w:t xml:space="preserve">Chemist</w:t>
      </w:r>
      <w:r>
        <w:t xml:space="preserve"> </w:t>
      </w:r>
      <w:r>
        <w:t xml:space="preserve">network here hinges on understanding that pharmaceutical retail in this city is not just about transactions—it’s about being a trusted health ally within a culturally rich, rapidly evolving urban environment.</w:t>
      </w:r>
    </w:p>
    <w:bookmarkEnd w:id="23"/>
    <w:bookmarkStart w:id="24" w:name="X58bcaed79722e5bcb506664e88284ae8a17bb32"/>
    <w:p>
      <w:pPr>
        <w:pStyle w:val="Heading2"/>
      </w:pPr>
      <w:r>
        <w:t xml:space="preserve">Conclusion: Future Outlook for Chemist in Colombia Medellín</w:t>
      </w:r>
    </w:p>
    <w:p>
      <w:pPr>
        <w:pStyle w:val="FirstParagraph"/>
      </w:pPr>
      <w:r>
        <w:t xml:space="preserve">The Q3 2024 performance confirms that our</w:t>
      </w:r>
      <w:r>
        <w:t xml:space="preserve"> </w:t>
      </w:r>
      <w:r>
        <w:t xml:space="preserve">Chemist</w:t>
      </w:r>
      <w:r>
        <w:t xml:space="preserve"> </w:t>
      </w:r>
      <w:r>
        <w:t xml:space="preserve">model thrives when deeply adapted to the socioeconomic fabric of Colombia Medellín. As the city continues its transformation into a global healthcare innovation hub—bolstered by Antioquia’s medical research institutes and Medellín’s smart-city initiatives—we project 15% annual revenue growth through 2025. This growth will be fueled by continued investment in local talent, technology integration, and unwavering focus on the health needs of Medellín's diverse communities. Our</w:t>
      </w:r>
      <w:r>
        <w:t xml:space="preserve"> </w:t>
      </w:r>
      <w:r>
        <w:t xml:space="preserve">Chemist</w:t>
      </w:r>
      <w:r>
        <w:t xml:space="preserve"> </w:t>
      </w:r>
      <w:r>
        <w:t xml:space="preserve">network must remain agile to navigate Colombia’s evolving healthcare policies while delivering exceptional service that resonates with the spirit of Medellín itself.</w:t>
      </w:r>
    </w:p>
    <w:p>
      <w:pPr>
        <w:pStyle w:val="BodyText"/>
      </w:pPr>
      <w:r>
        <w:t xml:space="preserve">Prepared for: Corporate Leadership Team | Date: October 15, 2024</w:t>
      </w:r>
      <w:r>
        <w:br/>
      </w:r>
      <w:r>
        <w:t xml:space="preserve">Document Reference: CHEMIST-MED-2024-Q3 | Confidential - For Internal Use Only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Operations in Colombia Medellín</dc:title>
  <dc:creator/>
  <dc:language>en</dc:language>
  <cp:keywords/>
  <dcterms:created xsi:type="dcterms:W3CDTF">2026-07-21T11:07:10Z</dcterms:created>
  <dcterms:modified xsi:type="dcterms:W3CDTF">2026-07-21T11:07:10Z</dcterms:modified>
</cp:coreProperties>
</file>

<file path=docProps/custom.xml><?xml version="1.0" encoding="utf-8"?>
<Properties xmlns="http://schemas.openxmlformats.org/officeDocument/2006/custom-properties" xmlns:vt="http://schemas.openxmlformats.org/officeDocument/2006/docPropsVTypes"/>
</file>