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Chemist</w:t>
      </w:r>
      <w:r>
        <w:t xml:space="preserve"> </w:t>
      </w:r>
      <w:r>
        <w:t xml:space="preserve">Pharmacy</w:t>
      </w:r>
      <w:r>
        <w:t xml:space="preserve"> </w:t>
      </w:r>
      <w:r>
        <w:t xml:space="preserve">Chain</w:t>
      </w:r>
      <w:r>
        <w:t xml:space="preserve"> </w:t>
      </w:r>
      <w:r>
        <w:t xml:space="preserve">-</w:t>
      </w:r>
      <w:r>
        <w:t xml:space="preserve"> </w:t>
      </w:r>
      <w:r>
        <w:t xml:space="preserve">Egypt</w:t>
      </w:r>
      <w:r>
        <w:t xml:space="preserve"> </w:t>
      </w:r>
      <w:r>
        <w:t xml:space="preserve">Cairo</w:t>
      </w:r>
    </w:p>
    <w:bookmarkStart w:id="31" w:name="X6a7be3edeae28521f18fef0e11a65c5a083a2ec"/>
    <w:p>
      <w:pPr>
        <w:pStyle w:val="Heading1"/>
      </w:pPr>
      <w:r>
        <w:t xml:space="preserve">Quarterly Sales Performance Report: Chemist Pharmacy Chain - Egypt Cairo</w:t>
      </w:r>
    </w:p>
    <w:p>
      <w:pPr>
        <w:pStyle w:val="FirstParagraph"/>
      </w:pPr>
      <w:r>
        <w:rPr>
          <w:bCs/>
          <w:b/>
        </w:rPr>
        <w:t xml:space="preserve">Report Period:</w:t>
      </w:r>
      <w:r>
        <w:t xml:space="preserve"> </w:t>
      </w:r>
      <w:r>
        <w:t xml:space="preserve">Q3 2023 (July 1, 2023 - September 30, 2023)</w:t>
      </w:r>
    </w:p>
    <w:p>
      <w:pPr>
        <w:pStyle w:val="BodyText"/>
      </w:pPr>
      <w:r>
        <w:rPr>
          <w:bCs/>
          <w:b/>
        </w:rPr>
        <w:t xml:space="preserve">Prepared For:</w:t>
      </w:r>
      <w:r>
        <w:t xml:space="preserve"> </w:t>
      </w:r>
      <w:r>
        <w:t xml:space="preserve">Executive Management, Chemist Pharmacy Group</w:t>
      </w:r>
    </w:p>
    <w:p>
      <w:pPr>
        <w:pStyle w:val="BodyText"/>
      </w:pPr>
      <w:r>
        <w:rPr>
          <w:bCs/>
          <w:b/>
        </w:rPr>
        <w:t xml:space="preserve">Date:</w:t>
      </w:r>
      <w:r>
        <w:t xml:space="preserve"> </w:t>
      </w:r>
      <w:r>
        <w:t xml:space="preserve">October 15, 2023</w:t>
      </w:r>
    </w:p>
    <w:bookmarkStart w:id="20" w:name="executive-summary"/>
    <w:p>
      <w:pPr>
        <w:pStyle w:val="Heading2"/>
      </w:pPr>
      <w:r>
        <w:t xml:space="preserve">Executive Summary</w:t>
      </w:r>
    </w:p>
    <w:p>
      <w:pPr>
        <w:pStyle w:val="FirstParagraph"/>
      </w:pPr>
      <w:r>
        <w:t xml:space="preserve">The third quarter of 2023 demonstrated robust growth for the Chemist Pharmacy chain across Egypt Cairo, achieving a remarkable 18.7% year-over-year increase in total sales revenue. This performance underscores the strategic positioning of our retail chemist network within Egypt's dynamic pharmaceutical market. Despite regional economic pressures, our Cairo operations exceeded quarterly targets by 12.3%, driven by expanded service offerings, enhanced customer engagement initiatives, and targeted product portfolio optimization tailored to Cairo's unique demographic needs.</w:t>
      </w:r>
    </w:p>
    <w:bookmarkEnd w:id="20"/>
    <w:bookmarkStart w:id="21" w:name="key-sales-performance-metrics"/>
    <w:p>
      <w:pPr>
        <w:pStyle w:val="Heading2"/>
      </w:pPr>
      <w:r>
        <w:t xml:space="preserve">Key Sales Performance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Q3 2023 (EGP)</w:t>
            </w:r>
          </w:p>
        </w:tc>
        <w:tc>
          <w:tcPr/>
          <w:p>
            <w:pPr>
              <w:pStyle w:val="Compact"/>
              <w:jc w:val="left"/>
            </w:pPr>
            <w:r>
              <w:t xml:space="preserve">Q3 2022 (EGP)</w:t>
            </w:r>
          </w:p>
        </w:tc>
        <w:tc>
          <w:tcPr/>
          <w:p>
            <w:pPr>
              <w:pStyle w:val="Compact"/>
              <w:jc w:val="left"/>
            </w:pPr>
            <w:r>
              <w:t xml:space="preserve">YoY Change</w:t>
            </w:r>
          </w:p>
        </w:tc>
      </w:tr>
      <w:tr>
        <w:tc>
          <w:tcPr/>
          <w:p>
            <w:pPr>
              <w:pStyle w:val="Compact"/>
              <w:jc w:val="left"/>
            </w:pPr>
            <w:r>
              <w:t xml:space="preserve">Total Sales Revenue</w:t>
            </w:r>
          </w:p>
        </w:tc>
        <w:tc>
          <w:tcPr/>
          <w:p>
            <w:pPr>
              <w:pStyle w:val="Compact"/>
              <w:jc w:val="left"/>
            </w:pPr>
            <w:r>
              <w:t xml:space="preserve">48,750,000</w:t>
            </w:r>
          </w:p>
        </w:tc>
        <w:tc>
          <w:tcPr/>
          <w:p>
            <w:pPr>
              <w:pStyle w:val="Compact"/>
              <w:jc w:val="left"/>
            </w:pPr>
            <w:r>
              <w:t xml:space="preserve">41,125,000</w:t>
            </w:r>
          </w:p>
        </w:tc>
        <w:tc>
          <w:tcPr/>
          <w:p>
            <w:pPr>
              <w:pStyle w:val="Compact"/>
              <w:jc w:val="left"/>
            </w:pPr>
            <w:r>
              <w:t xml:space="preserve">+18.7%</w:t>
            </w:r>
          </w:p>
        </w:tc>
      </w:tr>
      <w:tr>
        <w:tc>
          <w:tcPr/>
          <w:p>
            <w:pPr>
              <w:pStyle w:val="Compact"/>
              <w:jc w:val="left"/>
            </w:pPr>
            <w:r>
              <w:t xml:space="preserve">OTC Medicines &amp; Supplements</w:t>
            </w:r>
          </w:p>
        </w:tc>
        <w:tc>
          <w:tcPr/>
          <w:p>
            <w:pPr>
              <w:pStyle w:val="Compact"/>
              <w:jc w:val="left"/>
            </w:pPr>
            <w:r>
              <w:t xml:space="preserve">22,365,000</w:t>
            </w:r>
          </w:p>
        </w:tc>
        <w:tc>
          <w:tcPr/>
          <w:p>
            <w:pPr>
              <w:pStyle w:val="Compact"/>
              <w:jc w:val="left"/>
            </w:pPr>
            <w:r>
              <w:t xml:space="preserve">19,845,000</w:t>
            </w:r>
          </w:p>
        </w:tc>
        <w:tc>
          <w:tcPr/>
          <w:p>
            <w:pPr>
              <w:pStyle w:val="Compact"/>
              <w:jc w:val="left"/>
            </w:pPr>
            <w:r>
              <w:t xml:space="preserve">+12.7%</w:t>
            </w:r>
          </w:p>
        </w:tc>
      </w:tr>
      <w:tr>
        <w:tc>
          <w:tcPr/>
          <w:p>
            <w:pPr>
              <w:pStyle w:val="Compact"/>
              <w:jc w:val="left"/>
            </w:pPr>
            <w:r>
              <w:t xml:space="preserve">Prescription Medicines</w:t>
            </w:r>
          </w:p>
        </w:tc>
        <w:tc>
          <w:tcPr/>
          <w:p>
            <w:pPr>
              <w:pStyle w:val="Compact"/>
              <w:jc w:val="left"/>
            </w:pPr>
            <w:r>
              <w:t xml:space="preserve">18,925,000</w:t>
            </w:r>
          </w:p>
        </w:tc>
        <w:tc>
          <w:tcPr/>
          <w:p>
            <w:pPr>
              <w:pStyle w:val="Compact"/>
              <w:jc w:val="left"/>
            </w:pPr>
            <w:r>
              <w:t xml:space="preserve">16,438,000</w:t>
            </w:r>
          </w:p>
        </w:tc>
        <w:tc>
          <w:tcPr/>
          <w:p>
            <w:pPr>
              <w:pStyle w:val="Compact"/>
              <w:jc w:val="left"/>
            </w:pPr>
            <w:r>
              <w:t xml:space="preserve">+15.1%</w:t>
            </w:r>
          </w:p>
        </w:tc>
      </w:tr>
      <w:tr>
        <w:tc>
          <w:tcPr/>
          <w:p>
            <w:pPr>
              <w:pStyle w:val="Compact"/>
              <w:jc w:val="left"/>
            </w:pPr>
            <w:r>
              <w:t xml:space="preserve">Beauty &amp; Personal Care</w:t>
            </w:r>
          </w:p>
        </w:tc>
        <w:tc>
          <w:tcPr/>
          <w:p>
            <w:pPr>
              <w:pStyle w:val="Compact"/>
              <w:jc w:val="left"/>
            </w:pPr>
            <w:r>
              <w:t xml:space="preserve">6,285,000</w:t>
            </w:r>
          </w:p>
        </w:tc>
        <w:tc>
          <w:tcPr/>
          <w:p>
            <w:pPr>
              <w:pStyle w:val="Compact"/>
              <w:jc w:val="left"/>
            </w:pPr>
            <w:r>
              <w:t xml:space="preserve">5,743,000</w:t>
            </w:r>
          </w:p>
        </w:tc>
        <w:tc>
          <w:tcPr/>
          <w:p>
            <w:pPr>
              <w:pStyle w:val="Compact"/>
              <w:jc w:val="left"/>
            </w:pPr>
            <w:r>
              <w:t xml:space="preserve">+9.4%</w:t>
            </w:r>
          </w:p>
        </w:tc>
      </w:tr>
      <w:tr>
        <w:tc>
          <w:tcPr/>
          <w:p>
            <w:pPr>
              <w:pStyle w:val="Compact"/>
              <w:jc w:val="left"/>
            </w:pPr>
            <w:r>
              <w:t xml:space="preserve">Diagnostics &amp; Medical Supplies</w:t>
            </w:r>
          </w:p>
        </w:tc>
        <w:tc>
          <w:tcPr/>
          <w:p>
            <w:pPr>
              <w:pStyle w:val="Compact"/>
              <w:jc w:val="left"/>
            </w:pPr>
            <w:r>
              <w:t xml:space="preserve">1,175,000</w:t>
            </w:r>
          </w:p>
        </w:tc>
        <w:tc>
          <w:tcPr/>
          <w:p>
            <w:pPr>
              <w:pStyle w:val="Compact"/>
              <w:jc w:val="left"/>
            </w:pPr>
            <w:r>
              <w:t xml:space="preserve">899,000</w:t>
            </w:r>
          </w:p>
        </w:tc>
        <w:tc>
          <w:tcPr/>
          <w:p>
            <w:pPr>
              <w:pStyle w:val="Compact"/>
              <w:jc w:val="left"/>
            </w:pPr>
            <w:r>
              <w:t xml:space="preserve">+30.7%</w:t>
            </w:r>
          </w:p>
        </w:tc>
      </w:tr>
    </w:tbl>
    <w:bookmarkEnd w:id="21"/>
    <w:bookmarkStart w:id="25" w:name="cairo-specific-performance-drivers"/>
    <w:p>
      <w:pPr>
        <w:pStyle w:val="Heading2"/>
      </w:pPr>
      <w:r>
        <w:t xml:space="preserve">Cairo-Specific Performance Drivers</w:t>
      </w:r>
    </w:p>
    <w:p>
      <w:pPr>
        <w:pStyle w:val="FirstParagraph"/>
      </w:pPr>
      <w:r>
        <w:t xml:space="preserve">The exceptional performance in Egypt Cairo can be attributed to three strategic pillars:</w:t>
      </w:r>
    </w:p>
    <w:bookmarkStart w:id="22" w:name="hyper-localized-product-assortment"/>
    <w:p>
      <w:pPr>
        <w:pStyle w:val="Heading3"/>
      </w:pPr>
      <w:r>
        <w:t xml:space="preserve">1. Hyper-Localized Product Assortment</w:t>
      </w:r>
    </w:p>
    <w:p>
      <w:pPr>
        <w:pStyle w:val="FirstParagraph"/>
      </w:pPr>
      <w:r>
        <w:t xml:space="preserve">Our Cairo chemist outlets implemented neighborhood-specific inventory mapping based on demographic data from the Central Agency for Public Mobilization and Statistics (CAPMAS). For instance, pharmacies in Maadi and Nasr City increased stocking of diabetes management kits by 35% following epidemiological data showing rising Type 2 diabetes prevalence in these areas. Similarly, chemist locations near universities (like Ain Shams and Cairo University) expanded cold/flu remedy inventory during exam seasons, generating a 27% sales lift in respiratory products compared to the previous quarter.</w:t>
      </w:r>
    </w:p>
    <w:bookmarkEnd w:id="22"/>
    <w:bookmarkStart w:id="23" w:name="digital-integration-customer-loyalty"/>
    <w:p>
      <w:pPr>
        <w:pStyle w:val="Heading3"/>
      </w:pPr>
      <w:r>
        <w:t xml:space="preserve">2. Digital Integration &amp; Customer Loyalty</w:t>
      </w:r>
    </w:p>
    <w:p>
      <w:pPr>
        <w:pStyle w:val="FirstParagraph"/>
      </w:pPr>
      <w:r>
        <w:t xml:space="preserve">The Chemist mobile app saw 68% adoption among Cairo customers, enabling personalized promotions for frequent buyers. Our loyalty program "Chemist Care" delivered targeted discounts on chronic medication refills, increasing repeat visit frequency by 41% in Q3. Notably, the integration of Egypt's National Health Insurance Program (NHI) portal into our pharmacy management system reduced prescription processing time by 58%, directly improving customer satisfaction scores to 4.7/5 across all Cairo outlets.</w:t>
      </w:r>
    </w:p>
    <w:bookmarkEnd w:id="23"/>
    <w:bookmarkStart w:id="24" w:name="community-health-initiatives"/>
    <w:p>
      <w:pPr>
        <w:pStyle w:val="Heading3"/>
      </w:pPr>
      <w:r>
        <w:t xml:space="preserve">3. Community Health Initiatives</w:t>
      </w:r>
    </w:p>
    <w:p>
      <w:pPr>
        <w:pStyle w:val="FirstParagraph"/>
      </w:pPr>
      <w:r>
        <w:t xml:space="preserve">Strategic partnerships with Cairo Governorate's Ministry of Health facilitated free health screenings at 12 Chemist locations during Q3, driving foot traffic and establishing the chemist brand as a community health partner. These initiatives generated 2,485 new patient profiles and contributed to an 11.2% increase in non-prescription product sales among screened individuals.</w:t>
      </w:r>
    </w:p>
    <w:bookmarkEnd w:id="24"/>
    <w:bookmarkEnd w:id="25"/>
    <w:bookmarkStart w:id="26" w:name="X9e542a4b1a0f3412bb5887268830de46c0739d1"/>
    <w:p>
      <w:pPr>
        <w:pStyle w:val="Heading2"/>
      </w:pPr>
      <w:r>
        <w:t xml:space="preserve">Regional Comparison: Cairo vs. Other Egyptian Markets</w:t>
      </w:r>
    </w:p>
    <w:p>
      <w:pPr>
        <w:pStyle w:val="FirstParagraph"/>
      </w:pPr>
      <w:r>
        <w:t xml:space="preserve">While all Egyptian regions showed growth, Cairo maintained a significant performance advantage:</w:t>
      </w:r>
    </w:p>
    <w:p>
      <w:pPr>
        <w:numPr>
          <w:ilvl w:val="0"/>
          <w:numId w:val="1001"/>
        </w:numPr>
        <w:pStyle w:val="Compact"/>
      </w:pPr>
      <w:r>
        <w:rPr>
          <w:bCs/>
          <w:b/>
        </w:rPr>
        <w:t xml:space="preserve">Cairo's Market Share:</w:t>
      </w:r>
      <w:r>
        <w:t xml:space="preserve"> </w:t>
      </w:r>
      <w:r>
        <w:t xml:space="preserve">38% of total Chemist sales in Egypt (vs. 35% in Q2), demonstrating strong urban dominance</w:t>
      </w:r>
    </w:p>
    <w:p>
      <w:pPr>
        <w:numPr>
          <w:ilvl w:val="0"/>
          <w:numId w:val="1001"/>
        </w:numPr>
        <w:pStyle w:val="Compact"/>
      </w:pPr>
      <w:r>
        <w:rPr>
          <w:bCs/>
          <w:b/>
        </w:rPr>
        <w:t xml:space="preserve">Average Transaction Value:</w:t>
      </w:r>
      <w:r>
        <w:t xml:space="preserve"> </w:t>
      </w:r>
      <w:r>
        <w:t xml:space="preserve">EGP 198 (Cairo) vs. EGP 172 (Nile Delta regions)</w:t>
      </w:r>
    </w:p>
    <w:p>
      <w:pPr>
        <w:numPr>
          <w:ilvl w:val="0"/>
          <w:numId w:val="1001"/>
        </w:numPr>
        <w:pStyle w:val="Compact"/>
      </w:pPr>
      <w:r>
        <w:rPr>
          <w:bCs/>
          <w:b/>
        </w:rPr>
        <w:t xml:space="preserve">Customer Retention Rate:</w:t>
      </w:r>
      <w:r>
        <w:t xml:space="preserve"> </w:t>
      </w:r>
      <w:r>
        <w:t xml:space="preserve">68% in Cairo vs. 54% nationally</w:t>
      </w:r>
    </w:p>
    <w:p>
      <w:pPr>
        <w:pStyle w:val="FirstParagraph"/>
      </w:pPr>
      <w:r>
        <w:t xml:space="preserve">This premium performance is attributed to Cairo's higher disposable income levels, dense population (20 million residents), and superior healthcare infrastructure accessibility.</w:t>
      </w:r>
    </w:p>
    <w:bookmarkEnd w:id="26"/>
    <w:bookmarkStart w:id="27" w:name="challenges-mitigation-strategies"/>
    <w:p>
      <w:pPr>
        <w:pStyle w:val="Heading2"/>
      </w:pPr>
      <w:r>
        <w:t xml:space="preserve">Challenges &amp; Mitigation Strategies</w:t>
      </w:r>
    </w:p>
    <w:p>
      <w:pPr>
        <w:pStyle w:val="FirstParagraph"/>
      </w:pPr>
      <w:r>
        <w:t xml:space="preserve">Despite strong results, several challenges emerged in the Egypt Cairo market:</w:t>
      </w:r>
    </w:p>
    <w:p>
      <w:pPr>
        <w:numPr>
          <w:ilvl w:val="0"/>
          <w:numId w:val="1002"/>
        </w:numPr>
        <w:pStyle w:val="Compact"/>
      </w:pPr>
      <w:r>
        <w:rPr>
          <w:bCs/>
          <w:b/>
        </w:rPr>
        <w:t xml:space="preserve">Supply Chain Disruptions:</w:t>
      </w:r>
      <w:r>
        <w:t xml:space="preserve"> </w:t>
      </w:r>
      <w:r>
        <w:t xml:space="preserve">Global pharmaceutical cost inflation impacted 15% of OTC products. *Mitigation:* Secured long-term contracts with local manufacturers (including Egyptian Pharmaceutical Industries Corporation) for 60% of essential items, reducing price volatility by 22%.</w:t>
      </w:r>
    </w:p>
    <w:p>
      <w:pPr>
        <w:numPr>
          <w:ilvl w:val="0"/>
          <w:numId w:val="1002"/>
        </w:numPr>
        <w:pStyle w:val="Compact"/>
      </w:pPr>
      <w:r>
        <w:rPr>
          <w:bCs/>
          <w:b/>
        </w:rPr>
        <w:t xml:space="preserve">Regulatory Compliance:</w:t>
      </w:r>
      <w:r>
        <w:t xml:space="preserve"> </w:t>
      </w:r>
      <w:r>
        <w:t xml:space="preserve">New MOH regulations on prescription documentation caused temporary workflow interruptions. *Mitigation:* Implemented AI-powered digital prescription verification across all Cairo chemist outlets, ensuring 100% compliance with minimal customer wait time increase (under 90 seconds).</w:t>
      </w:r>
    </w:p>
    <w:bookmarkEnd w:id="27"/>
    <w:bookmarkStart w:id="28" w:name="growth-opportunities-for-egypt-cairo"/>
    <w:p>
      <w:pPr>
        <w:pStyle w:val="Heading2"/>
      </w:pPr>
      <w:r>
        <w:t xml:space="preserve">Growth Opportunities for Egypt Cairo</w:t>
      </w:r>
    </w:p>
    <w:p>
      <w:pPr>
        <w:pStyle w:val="FirstParagraph"/>
      </w:pPr>
      <w:r>
        <w:t xml:space="preserve">Based on Q3 insights, we recommend three priority initiatives for the Chemist pharmacy chain in Egypt's capital:</w:t>
      </w:r>
    </w:p>
    <w:p>
      <w:pPr>
        <w:numPr>
          <w:ilvl w:val="0"/>
          <w:numId w:val="1003"/>
        </w:numPr>
        <w:pStyle w:val="Compact"/>
      </w:pPr>
      <w:r>
        <w:rPr>
          <w:bCs/>
          <w:b/>
        </w:rPr>
        <w:t xml:space="preserve">Telepharmacy Expansion:</w:t>
      </w:r>
      <w:r>
        <w:t xml:space="preserve"> </w:t>
      </w:r>
      <w:r>
        <w:t xml:space="preserve">Launching AI-enabled virtual consultations within 15 Cairo outlets by Q1 2024 to address physician shortages, particularly for chronic disease management. Projected to generate EGP 8.3M in additional revenue annually.</w:t>
      </w:r>
    </w:p>
    <w:p>
      <w:pPr>
        <w:numPr>
          <w:ilvl w:val="0"/>
          <w:numId w:val="1003"/>
        </w:numPr>
        <w:pStyle w:val="Compact"/>
      </w:pPr>
      <w:r>
        <w:rPr>
          <w:bCs/>
          <w:b/>
        </w:rPr>
        <w:t xml:space="preserve">Premium Wellness Zones:</w:t>
      </w:r>
      <w:r>
        <w:t xml:space="preserve"> </w:t>
      </w:r>
      <w:r>
        <w:t xml:space="preserve">Creating dedicated "Wellness Centers" in high-traffic Cairo chemist locations (e.g., Downtown, Sheikh Zayed) offering personalized health assessments and premium supplement bundles targeting Egypt's growing wellness market (projected 25% CAGR).</w:t>
      </w:r>
    </w:p>
    <w:p>
      <w:pPr>
        <w:numPr>
          <w:ilvl w:val="0"/>
          <w:numId w:val="1003"/>
        </w:numPr>
        <w:pStyle w:val="Compact"/>
      </w:pPr>
      <w:r>
        <w:rPr>
          <w:bCs/>
          <w:b/>
        </w:rPr>
        <w:t xml:space="preserve">Pharmacy-to-Home Delivery:</w:t>
      </w:r>
      <w:r>
        <w:t xml:space="preserve"> </w:t>
      </w:r>
      <w:r>
        <w:t xml:space="preserve">Partnering with Careem and Talabat for same-day home delivery of non-prescription medications across all Cairo districts, capitalizing on the city's high smartphone penetration (89%) and urban mobility culture.</w:t>
      </w:r>
    </w:p>
    <w:bookmarkEnd w:id="28"/>
    <w:bookmarkStart w:id="30" w:name="conclusion"/>
    <w:p>
      <w:pPr>
        <w:pStyle w:val="Heading2"/>
      </w:pPr>
      <w:r>
        <w:t xml:space="preserve">Conclusion</w:t>
      </w:r>
    </w:p>
    <w:p>
      <w:pPr>
        <w:pStyle w:val="FirstParagraph"/>
      </w:pPr>
      <w:r>
        <w:t xml:space="preserve">The Q3 Sales Report confirms Chemist Pharmacy's leadership position within Egypt Cairo's competitive pharmaceutical retail landscape. Our ability to translate macro-economic trends into localized business strategies—particularly through deep community integration and digital innovation—has positioned the chemist chain for sustained growth in Egypt's largest metropolitan market. As we move into 2024, the focus will remain on scaling proven initiatives that leverage Cairo's unique urban dynamics while maintaining strict compliance with Egyptian regulatory frameworks.</w:t>
      </w:r>
    </w:p>
    <w:p>
      <w:pPr>
        <w:pStyle w:val="BodyText"/>
      </w:pPr>
      <w:r>
        <w:t xml:space="preserve">For the Chemist Pharmacy Group, Egypt Cairo represents not merely a regional market but a strategic growth engine where customer-centric pharmaceutical solutions are delivering measurable results. The success of our chemist outlets in navigating Egypt's complex healthcare environment serves as a blueprint for future expansion across the nation.</w:t>
      </w:r>
    </w:p>
    <w:bookmarkStart w:id="29" w:name="prepared-by"/>
    <w:p>
      <w:pPr>
        <w:pStyle w:val="Heading3"/>
      </w:pPr>
      <w:r>
        <w:t xml:space="preserve">Prepared By:</w:t>
      </w:r>
    </w:p>
    <w:p>
      <w:pPr>
        <w:pStyle w:val="FirstParagraph"/>
      </w:pPr>
      <w:r>
        <w:t xml:space="preserve">Ahmed Hassan, Regional Sales Director (Egypt Cairo)</w:t>
      </w:r>
    </w:p>
    <w:p>
      <w:pPr>
        <w:pStyle w:val="BodyText"/>
      </w:pPr>
      <w:r>
        <w:t xml:space="preserve">Chemist Pharmacy Group</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Chemist Pharmacy Chain - Egypt Cairo</dc:title>
  <dc:creator/>
  <dc:language>en</dc:language>
  <cp:keywords/>
  <dcterms:created xsi:type="dcterms:W3CDTF">2026-07-20T06:34:33Z</dcterms:created>
  <dcterms:modified xsi:type="dcterms:W3CDTF">2026-07-20T06:34:33Z</dcterms:modified>
</cp:coreProperties>
</file>

<file path=docProps/custom.xml><?xml version="1.0" encoding="utf-8"?>
<Properties xmlns="http://schemas.openxmlformats.org/officeDocument/2006/custom-properties" xmlns:vt="http://schemas.openxmlformats.org/officeDocument/2006/docPropsVTypes"/>
</file>