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Berlin</w:t>
      </w:r>
      <w:r>
        <w:t xml:space="preserve"> </w:t>
      </w:r>
      <w:r>
        <w:t xml:space="preserve">Chemist</w:t>
      </w:r>
      <w:r>
        <w:t xml:space="preserve"> </w:t>
      </w:r>
      <w:r>
        <w:t xml:space="preserve">Performance</w:t>
      </w:r>
      <w:r>
        <w:t xml:space="preserve"> </w:t>
      </w:r>
      <w:r>
        <w:t xml:space="preserve">Analysis</w:t>
      </w:r>
    </w:p>
    <w:bookmarkStart w:id="28" w:name="Xfb6c11ab5aa7ff9c0ab2a1c85f5d442c1a3c6fb"/>
    <w:p>
      <w:pPr>
        <w:pStyle w:val="Heading1"/>
      </w:pPr>
      <w:r>
        <w:t xml:space="preserve">Comprehensive Sales Report: Berlin Chemist Market Performance (Q3 2023)</w:t>
      </w:r>
    </w:p>
    <w:bookmarkStart w:id="20" w:name="executive-summary"/>
    <w:p>
      <w:pPr>
        <w:pStyle w:val="Heading2"/>
      </w:pPr>
      <w:r>
        <w:t xml:space="preserve">Executive Summary</w:t>
      </w:r>
    </w:p>
    <w:p>
      <w:pPr>
        <w:pStyle w:val="FirstParagraph"/>
      </w:pPr>
      <w:r>
        <w:t xml:space="preserve">This official Sales Report presents a detailed analysis of the performance metrics for our leading Chemist retail chain operating across Germany, with special focus on the Berlin metropolitan area. The report demonstrates robust growth in Berlin's pharmaceutical sector, driven by strategic market positioning and evolving consumer healthcare needs. Our Chemist locations in Germany Berlin have achieved a 12.7% year-over-year sales increase, significantly outperforming the national average of 4.2% for pharmacy retailers.</w:t>
      </w:r>
    </w:p>
    <w:bookmarkEnd w:id="20"/>
    <w:bookmarkStart w:id="21" w:name="X1bc4fdc37a5608cdb0ac5bb64121db72598359b"/>
    <w:p>
      <w:pPr>
        <w:pStyle w:val="Heading2"/>
      </w:pPr>
      <w:r>
        <w:t xml:space="preserve">Market Context: Chemist Operations in Germany Berlin</w:t>
      </w:r>
    </w:p>
    <w:p>
      <w:pPr>
        <w:pStyle w:val="FirstParagraph"/>
      </w:pPr>
      <w:r>
        <w:t xml:space="preserve">The German pharmaceutical market represents €65 billion annually, with Berlin as a critical growth hub accounting for 18% of regional pharmacy sales volume. As a premier Chemist provider in Germany, our Berlin operations benefit from the city's dense population (3.7 million residents), high healthcare expenditure per capita (€1,240), and strong public health infrastructure. This Sales Report confirms that Berlin's unique demographic profile—characterized by aging population segments (24% over 65 years) and wellness-conscious millennials—has directly influenced our product mix strategy.</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Berlin Sales (€)</w:t>
            </w:r>
          </w:p>
        </w:tc>
        <w:tc>
          <w:tcPr/>
          <w:p>
            <w:pPr>
              <w:pStyle w:val="Compact"/>
              <w:jc w:val="left"/>
            </w:pPr>
            <w:r>
              <w:t xml:space="preserve">National Avg. (€)</w:t>
            </w:r>
          </w:p>
        </w:tc>
        <w:tc>
          <w:tcPr/>
          <w:p>
            <w:pPr>
              <w:pStyle w:val="Compact"/>
              <w:jc w:val="left"/>
            </w:pPr>
            <w:r>
              <w:t xml:space="preserve">YoY Growth (Berlin)</w:t>
            </w:r>
          </w:p>
        </w:tc>
      </w:tr>
      <w:tr>
        <w:tc>
          <w:tcPr/>
          <w:p>
            <w:pPr>
              <w:pStyle w:val="Compact"/>
              <w:jc w:val="left"/>
            </w:pPr>
            <w:r>
              <w:t xml:space="preserve">Prescription Medicines</w:t>
            </w:r>
          </w:p>
        </w:tc>
        <w:tc>
          <w:tcPr/>
          <w:p>
            <w:pPr>
              <w:pStyle w:val="Compact"/>
              <w:jc w:val="left"/>
            </w:pPr>
            <w:r>
              <w:t xml:space="preserve">1,872,500</w:t>
            </w:r>
          </w:p>
        </w:tc>
        <w:tc>
          <w:tcPr/>
          <w:p>
            <w:pPr>
              <w:pStyle w:val="Compact"/>
              <w:jc w:val="left"/>
            </w:pPr>
            <w:r>
              <w:t xml:space="preserve">1,654,300</w:t>
            </w:r>
          </w:p>
        </w:tc>
        <w:tc>
          <w:tcPr/>
          <w:p>
            <w:pPr>
              <w:pStyle w:val="Compact"/>
              <w:jc w:val="left"/>
            </w:pPr>
            <w:r>
              <w:t xml:space="preserve">+9.8%</w:t>
            </w:r>
          </w:p>
        </w:tc>
      </w:tr>
      <w:tr>
        <w:tc>
          <w:tcPr/>
          <w:p>
            <w:pPr>
              <w:pStyle w:val="Compact"/>
              <w:jc w:val="left"/>
            </w:pPr>
            <w:r>
              <w:t xml:space="preserve">OTC &amp; Wellness Products</w:t>
            </w:r>
          </w:p>
        </w:tc>
        <w:tc>
          <w:tcPr/>
          <w:p>
            <w:pPr>
              <w:pStyle w:val="Compact"/>
              <w:jc w:val="left"/>
            </w:pPr>
            <w:r>
              <w:t xml:space="preserve">943,200</w:t>
            </w:r>
          </w:p>
        </w:tc>
        <w:tc>
          <w:tcPr/>
          <w:p>
            <w:pPr>
              <w:pStyle w:val="Compact"/>
              <w:jc w:val="left"/>
            </w:pPr>
            <w:r>
              <w:t xml:space="preserve">785,100</w:t>
            </w:r>
          </w:p>
        </w:tc>
        <w:tc>
          <w:tcPr/>
          <w:p>
            <w:pPr>
              <w:pStyle w:val="Compact"/>
              <w:jc w:val="left"/>
            </w:pPr>
            <w:r>
              <w:t xml:space="preserve">+16.5%</w:t>
            </w:r>
          </w:p>
        </w:tc>
      </w:tr>
      <w:tr>
        <w:tc>
          <w:tcPr/>
          <w:p>
            <w:pPr>
              <w:pStyle w:val="Compact"/>
              <w:jc w:val="left"/>
            </w:pPr>
            <w:r>
              <w:t xml:space="preserve">Pharmacy Services (Consultations)</w:t>
            </w:r>
          </w:p>
        </w:tc>
        <w:tc>
          <w:tcPr/>
          <w:p>
            <w:pPr>
              <w:pStyle w:val="Compact"/>
              <w:jc w:val="left"/>
            </w:pPr>
            <w:r>
              <w:t xml:space="preserve">417,800</w:t>
            </w:r>
          </w:p>
        </w:tc>
        <w:tc>
          <w:tcPr/>
          <w:p>
            <w:pPr>
              <w:pStyle w:val="Compact"/>
              <w:jc w:val="left"/>
            </w:pPr>
            <w:r>
              <w:t xml:space="preserve">342,600</w:t>
            </w:r>
          </w:p>
        </w:tc>
        <w:tc>
          <w:tcPr/>
          <w:p>
            <w:pPr>
              <w:pStyle w:val="Compact"/>
              <w:jc w:val="left"/>
            </w:pPr>
            <w:r>
              <w:t xml:space="preserve">+21.3%</w:t>
            </w:r>
          </w:p>
        </w:tc>
      </w:tr>
    </w:tbl>
    <w:p>
      <w:pPr>
        <w:pStyle w:val="BodyText"/>
      </w:pPr>
      <w:r>
        <w:t xml:space="preserve">The Berlin Chemist locations have significantly outperformed national benchmarks across all categories. Notably, our OTC &amp; Wellness category growth (16.5%) reflects Berlin's strong wellness culture, with demand for natural supplements and telehealth services increasing 32% following the 2023 Healthcare Digitalization Act in Germany. This performance underscores why this Sales Report places Berlin as our flagship market for future expansion.</w:t>
      </w:r>
    </w:p>
    <w:bookmarkEnd w:id="22"/>
    <w:bookmarkStart w:id="23" w:name="Xe3c9f64b6e3d4e44062f9419781c2de0c9c03fa"/>
    <w:p>
      <w:pPr>
        <w:pStyle w:val="Heading2"/>
      </w:pPr>
      <w:r>
        <w:t xml:space="preserve">Consumer Behavior Analysis: Germany Berlin Market Trends</w:t>
      </w:r>
    </w:p>
    <w:p>
      <w:pPr>
        <w:pStyle w:val="FirstParagraph"/>
      </w:pPr>
      <w:r>
        <w:t xml:space="preserve">Our Berlin Chemist stores have adapted to local preferences through data-driven strategies. A recent customer survey conducted across 15 locations in Germany Berlin revealed:</w:t>
      </w:r>
    </w:p>
    <w:p>
      <w:pPr>
        <w:numPr>
          <w:ilvl w:val="0"/>
          <w:numId w:val="1001"/>
        </w:numPr>
        <w:pStyle w:val="Compact"/>
      </w:pPr>
      <w:r>
        <w:t xml:space="preserve">73% of customers prioritize "same-day prescription fulfillment" – driving our implementation of automated dispensing systems in all Berlin locations</w:t>
      </w:r>
    </w:p>
    <w:p>
      <w:pPr>
        <w:numPr>
          <w:ilvl w:val="0"/>
          <w:numId w:val="1001"/>
        </w:numPr>
        <w:pStyle w:val="Compact"/>
      </w:pPr>
      <w:r>
        <w:t xml:space="preserve">68% actively seek "eco-friendly packaging" options, prompting our shift to 100% recyclable materials across Berlin operations</w:t>
      </w:r>
    </w:p>
    <w:p>
      <w:pPr>
        <w:numPr>
          <w:ilvl w:val="0"/>
          <w:numId w:val="1001"/>
        </w:numPr>
        <w:pStyle w:val="Compact"/>
      </w:pPr>
      <w:r>
        <w:t xml:space="preserve">45% increased visits during "Berlin Health Weeks" (October 2023), confirming the success of our localized wellness campaigns</w:t>
      </w:r>
    </w:p>
    <w:p>
      <w:pPr>
        <w:pStyle w:val="FirstParagraph"/>
      </w:pPr>
      <w:r>
        <w:t xml:space="preserve">This insight directly informs our Berlin-specific product procurement strategy, where we've reduced non-essential imports by 31% in favor of locally sourced herbal remedies through partnerships with Berlin-based organic farms.</w:t>
      </w:r>
    </w:p>
    <w:bookmarkEnd w:id="23"/>
    <w:bookmarkStart w:id="24" w:name="X71dd77b8c626db4517b741ff6884e8429b15fd6"/>
    <w:p>
      <w:pPr>
        <w:pStyle w:val="Heading2"/>
      </w:pPr>
      <w:r>
        <w:t xml:space="preserve">Competitive Positioning in Germany's Pharmacy Landscape</w:t>
      </w:r>
    </w:p>
    <w:p>
      <w:pPr>
        <w:pStyle w:val="FirstParagraph"/>
      </w:pPr>
      <w:r>
        <w:t xml:space="preserve">While competing with major chains like dm drogerie markt, our Chemist locations differentiate through hyper-localized service models. The Sales Report identifies three key advantages in Germany Berlin:</w:t>
      </w:r>
    </w:p>
    <w:p>
      <w:pPr>
        <w:numPr>
          <w:ilvl w:val="0"/>
          <w:numId w:val="1002"/>
        </w:numPr>
        <w:pStyle w:val="Compact"/>
      </w:pPr>
      <w:r>
        <w:rPr>
          <w:bCs/>
          <w:b/>
        </w:rPr>
        <w:t xml:space="preserve">Community Integration:</w:t>
      </w:r>
      <w:r>
        <w:t xml:space="preserve"> </w:t>
      </w:r>
      <w:r>
        <w:t xml:space="preserve">Berlin Chemist stores host free health screenings (blood pressure, diabetes checks) at 43 locations across the city</w:t>
      </w:r>
    </w:p>
    <w:p>
      <w:pPr>
        <w:numPr>
          <w:ilvl w:val="0"/>
          <w:numId w:val="1002"/>
        </w:numPr>
        <w:pStyle w:val="Compact"/>
      </w:pPr>
      <w:r>
        <w:rPr>
          <w:bCs/>
          <w:b/>
        </w:rPr>
        <w:t xml:space="preserve">Niche Expertise:</w:t>
      </w:r>
      <w:r>
        <w:t xml:space="preserve"> </w:t>
      </w:r>
      <w:r>
        <w:t xml:space="preserve">28% of our Berlin staff are certified in alternative medicine, supporting growing demand for integrative healthcare</w:t>
      </w:r>
    </w:p>
    <w:p>
      <w:pPr>
        <w:numPr>
          <w:ilvl w:val="0"/>
          <w:numId w:val="1002"/>
        </w:numPr>
        <w:pStyle w:val="Compact"/>
      </w:pPr>
      <w:r>
        <w:rPr>
          <w:bCs/>
          <w:b/>
        </w:rPr>
        <w:t xml:space="preserve">Logistics Optimization:</w:t>
      </w:r>
      <w:r>
        <w:t xml:space="preserve"> </w:t>
      </w:r>
      <w:r>
        <w:t xml:space="preserve">Our Berlin distribution center (operating since 2021) cuts delivery times by 65% compared to national averages</w:t>
      </w:r>
    </w:p>
    <w:bookmarkEnd w:id="24"/>
    <w:bookmarkStart w:id="25" w:name="challenges-and-strategic-response"/>
    <w:p>
      <w:pPr>
        <w:pStyle w:val="Heading2"/>
      </w:pPr>
      <w:r>
        <w:t xml:space="preserve">Challenges and Strategic Response</w:t>
      </w:r>
    </w:p>
    <w:p>
      <w:pPr>
        <w:pStyle w:val="FirstParagraph"/>
      </w:pPr>
      <w:r>
        <w:t xml:space="preserve">The Sales Report acknowledges regional challenges unique to Germany Berlin, including rising pharmacy operational costs (up 8.3% YoY) and complex regulatory compliance under the German Apothekenordnung. Our Berlin team has implemented:</w:t>
      </w:r>
    </w:p>
    <w:p>
      <w:pPr>
        <w:numPr>
          <w:ilvl w:val="0"/>
          <w:numId w:val="1003"/>
        </w:numPr>
        <w:pStyle w:val="Compact"/>
      </w:pPr>
      <w:r>
        <w:t xml:space="preserve">Dynamic pricing algorithms for prescription drugs meeting new EU transparency requirements</w:t>
      </w:r>
    </w:p>
    <w:p>
      <w:pPr>
        <w:numPr>
          <w:ilvl w:val="0"/>
          <w:numId w:val="1003"/>
        </w:numPr>
        <w:pStyle w:val="Compact"/>
      </w:pPr>
      <w:r>
        <w:t xml:space="preserve">AI-driven inventory management reducing waste by 19% in Berlin locations</w:t>
      </w:r>
    </w:p>
    <w:p>
      <w:pPr>
        <w:numPr>
          <w:ilvl w:val="0"/>
          <w:numId w:val="1003"/>
        </w:numPr>
        <w:pStyle w:val="Compact"/>
      </w:pPr>
      <w:r>
        <w:t xml:space="preserve">Partnerships with Berlin municipal health departments for subsidized medication programs</w:t>
      </w:r>
    </w:p>
    <w:bookmarkEnd w:id="25"/>
    <w:bookmarkStart w:id="26" w:name="X2dcabbf187ada6c6bdb4b0c11e4beccee3fbd26"/>
    <w:p>
      <w:pPr>
        <w:pStyle w:val="Heading2"/>
      </w:pPr>
      <w:r>
        <w:t xml:space="preserve">Growth Opportunities: Germany Berlin Expansion Plan</w:t>
      </w:r>
    </w:p>
    <w:p>
      <w:pPr>
        <w:pStyle w:val="FirstParagraph"/>
      </w:pPr>
      <w:r>
        <w:t xml:space="preserve">This Sales Report identifies two high-potential initiatives for our Chemist operations in Germany's capital:</w:t>
      </w:r>
    </w:p>
    <w:p>
      <w:pPr>
        <w:numPr>
          <w:ilvl w:val="0"/>
          <w:numId w:val="1004"/>
        </w:numPr>
        <w:pStyle w:val="Compact"/>
      </w:pPr>
      <w:r>
        <w:rPr>
          <w:bCs/>
          <w:b/>
        </w:rPr>
        <w:t xml:space="preserve">Urban Wellness Hubs:</w:t>
      </w:r>
      <w:r>
        <w:t xml:space="preserve"> </w:t>
      </w:r>
      <w:r>
        <w:t xml:space="preserve">Convert underutilized storefronts into "Chemist + Co" locations offering telehealth consultations, fitness classes, and personalized nutrition planning. Berlin pilot sites show 34% customer retention increase</w:t>
      </w:r>
    </w:p>
    <w:p>
      <w:pPr>
        <w:numPr>
          <w:ilvl w:val="0"/>
          <w:numId w:val="1004"/>
        </w:numPr>
        <w:pStyle w:val="Compact"/>
      </w:pPr>
      <w:r>
        <w:rPr>
          <w:bCs/>
          <w:b/>
        </w:rPr>
        <w:t xml:space="preserve">Sustainable Packaging Initiative:</w:t>
      </w:r>
      <w:r>
        <w:t xml:space="preserve"> </w:t>
      </w:r>
      <w:r>
        <w:t xml:space="preserve">Partner with Berlin-based startups for biodegradable packaging solutions. Projected to reduce costs by €120k annually while appealing to eco-conscious Berlin consumers</w:t>
      </w:r>
    </w:p>
    <w:bookmarkEnd w:id="26"/>
    <w:bookmarkStart w:id="27" w:name="X95bae2518b47058458a7e895be07010504dea40"/>
    <w:p>
      <w:pPr>
        <w:pStyle w:val="Heading2"/>
      </w:pPr>
      <w:r>
        <w:t xml:space="preserve">Conclusion: Future Outlook for Chemist in Germany Berlin</w:t>
      </w:r>
    </w:p>
    <w:p>
      <w:pPr>
        <w:pStyle w:val="FirstParagraph"/>
      </w:pPr>
      <w:r>
        <w:t xml:space="preserve">The evidence presented in this Sales Report confirms that our Chemist business model is exceptionally well-aligned with the healthcare consumption patterns of Germany Berlin. With projections indicating a 14.5% market growth for pharmacy services in Berlin through 2025, our strategic investments have positioned us to capture 37% of the premium pharmacy segment in this key German city.</w:t>
      </w:r>
    </w:p>
    <w:p>
      <w:pPr>
        <w:pStyle w:val="BodyText"/>
      </w:pPr>
      <w:r>
        <w:t xml:space="preserve">Crucially, the Berlin Chemist operations demonstrate how local market intelligence drives national success. Our sales data reveals that every €1 invested in Berlin-specific customer experience initiatives generates €5.80 in repeat business – a metric 22% higher than our national average. This underscores why continuous investment in Germany's most dynamic market (Berlin) remains central to our corporate strategy.</w:t>
      </w:r>
    </w:p>
    <w:p>
      <w:pPr>
        <w:pStyle w:val="BodyText"/>
      </w:pPr>
      <w:r>
        <w:t xml:space="preserve">As the largest healthcare provider chain operating across Germany Berlin, we remain committed to advancing community health through innovation. The findings in this Sales Report will directly inform our 2024 expansion budget allocation, with Berlin receiving 31% of new capital investment – a strategic decision based on its proven market leadership and growth potential.</w:t>
      </w:r>
    </w:p>
    <w:p>
      <w:pPr>
        <w:pStyle w:val="BodyText"/>
      </w:pPr>
      <w:r>
        <w:t xml:space="preserve">In summary, this comprehensive Sales Report validates that our Chemist approach delivers exceptional results in Germany's most important urban healthcare market. The Berlin operations serve as the blueprint for our national expansion, proving that localized expertise combined with pharmaceutical excellence creates sustainable competitive advantage across Germany.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Berlin Chemist Performance Analysis</dc:title>
  <dc:creator/>
  <dc:language>en</dc:language>
  <cp:keywords/>
  <dcterms:created xsi:type="dcterms:W3CDTF">2025-12-11T00:10:59Z</dcterms:created>
  <dcterms:modified xsi:type="dcterms:W3CDTF">2025-12-11T00:10:59Z</dcterms:modified>
</cp:coreProperties>
</file>

<file path=docProps/custom.xml><?xml version="1.0" encoding="utf-8"?>
<Properties xmlns="http://schemas.openxmlformats.org/officeDocument/2006/custom-properties" xmlns:vt="http://schemas.openxmlformats.org/officeDocument/2006/docPropsVTypes"/>
</file>