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Munich</w:t>
      </w:r>
      <w:r>
        <w:t xml:space="preserve"> </w:t>
      </w:r>
      <w:r>
        <w:t xml:space="preserve">Chemist</w:t>
      </w:r>
      <w:r>
        <w:t xml:space="preserve"> </w:t>
      </w:r>
      <w:r>
        <w:t xml:space="preserve">Performance</w:t>
      </w:r>
      <w:r>
        <w:t xml:space="preserve"> </w:t>
      </w:r>
      <w:r>
        <w:t xml:space="preserve">Analysis</w:t>
      </w:r>
    </w:p>
    <w:bookmarkStart w:id="32" w:name="Xe7b5994a6a1109d3ceb9829bf30939eb06b2d7c"/>
    <w:p>
      <w:pPr>
        <w:pStyle w:val="Heading1"/>
      </w:pPr>
      <w:r>
        <w:t xml:space="preserve">Comprehensive Sales Report: Premium Chemist Operations in Germany Munich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Board, Munich Pharmacy Network</w:t>
      </w:r>
    </w:p>
    <w:bookmarkStart w:id="20" w:name="executive-summary"/>
    <w:p>
      <w:pPr>
        <w:pStyle w:val="Heading2"/>
      </w:pPr>
      <w:r>
        <w:t xml:space="preserve">Executive Summary</w:t>
      </w:r>
    </w:p>
    <w:p>
      <w:pPr>
        <w:pStyle w:val="FirstParagraph"/>
      </w:pPr>
      <w:r>
        <w:t xml:space="preserve">This Sales Report details the operational performance of our leading chemist (pharmacy) chain across Munich, Germany during Q3 2023. The analysis confirms sustained growth in a highly competitive German pharmaceutical market, with our Munich locations outperforming regional benchmarks by 18.7%. This document provides granular insights into sales drivers, customer behavior patterns specific to the Munich demographic, and strategic recommendations for optimizing chemist operations in Germany's economic capital.</w:t>
      </w:r>
    </w:p>
    <w:bookmarkEnd w:id="20"/>
    <w:bookmarkStart w:id="21" w:name="X17d4ef73cac50d8099e58017a8f54844c70866a"/>
    <w:p>
      <w:pPr>
        <w:pStyle w:val="Heading2"/>
      </w:pPr>
      <w:r>
        <w:t xml:space="preserve">Market Context: Chemist Operations in Germany Munich</w:t>
      </w:r>
    </w:p>
    <w:p>
      <w:pPr>
        <w:pStyle w:val="FirstParagraph"/>
      </w:pPr>
      <w:r>
        <w:t xml:space="preserve">Munich represents a unique pharmaceutical market within Germany – characterized by high disposable income (average household income €64,300), aging population (18.2% aged 65+), and strong health-conscious culture. Our chemist locations strategically positioned in Schwabing, Maxvorstadt, and Neuhausen districts leverage this demographic advantage while adhering to stringent German pharmaceutical regulations (APG). The Q3 report demonstrates how our Munich-based chemist network has successfully navigated seasonal fluctuations while capitalizing on regional health trends.</w:t>
      </w:r>
    </w:p>
    <w:bookmarkEnd w:id="21"/>
    <w:bookmarkStart w:id="22" w:name="key-performance-metrics"/>
    <w:p>
      <w:pPr>
        <w:pStyle w:val="Heading2"/>
      </w:pPr>
      <w:r>
        <w:t xml:space="preserve">Key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Sales (€)</w:t>
            </w:r>
          </w:p>
        </w:tc>
        <w:tc>
          <w:tcPr/>
          <w:p>
            <w:pPr>
              <w:pStyle w:val="Compact"/>
              <w:jc w:val="left"/>
            </w:pPr>
            <w:r>
              <w:t xml:space="preserve">1,847,500</w:t>
            </w:r>
          </w:p>
        </w:tc>
        <w:tc>
          <w:tcPr/>
          <w:p>
            <w:pPr>
              <w:pStyle w:val="Compact"/>
              <w:jc w:val="left"/>
            </w:pPr>
            <w:r>
              <w:t xml:space="preserve">1,692,300</w:t>
            </w:r>
          </w:p>
        </w:tc>
        <w:tc>
          <w:tcPr/>
          <w:p>
            <w:pPr>
              <w:pStyle w:val="Compact"/>
              <w:jc w:val="left"/>
            </w:pPr>
            <w:r>
              <w:t xml:space="preserve">+9.2%</w:t>
            </w:r>
          </w:p>
        </w:tc>
      </w:tr>
      <w:tr>
        <w:tc>
          <w:tcPr/>
          <w:p>
            <w:pPr>
              <w:pStyle w:val="Compact"/>
              <w:jc w:val="left"/>
            </w:pPr>
            <w:r>
              <w:t xml:space="preserve">Avg. Transaction Value (€)</w:t>
            </w:r>
          </w:p>
        </w:tc>
        <w:tc>
          <w:tcPr/>
          <w:p>
            <w:pPr>
              <w:pStyle w:val="Compact"/>
              <w:jc w:val="left"/>
            </w:pPr>
            <w:r>
              <w:t xml:space="preserve">48.75</w:t>
            </w:r>
          </w:p>
        </w:tc>
        <w:tc>
          <w:tcPr/>
          <w:p>
            <w:pPr>
              <w:pStyle w:val="Compact"/>
              <w:jc w:val="left"/>
            </w:pPr>
            <w:r>
              <w:t xml:space="preserve">46.10</w:t>
            </w:r>
          </w:p>
        </w:tc>
        <w:tc>
          <w:tcPr/>
          <w:p>
            <w:pPr>
              <w:pStyle w:val="Compact"/>
              <w:jc w:val="left"/>
            </w:pPr>
            <w:r>
              <w:t xml:space="preserve">+5.7%</w:t>
            </w:r>
          </w:p>
        </w:tc>
      </w:tr>
      <w:tr>
        <w:tc>
          <w:tcPr/>
          <w:p>
            <w:pPr>
              <w:pStyle w:val="Compact"/>
              <w:jc w:val="left"/>
            </w:pPr>
            <w:r>
              <w:t xml:space="preserve">Customer Visits</w:t>
            </w:r>
          </w:p>
        </w:tc>
        <w:tc>
          <w:tcPr/>
          <w:p>
            <w:pPr>
              <w:pStyle w:val="Compact"/>
              <w:jc w:val="left"/>
            </w:pPr>
            <w:r>
              <w:t xml:space="preserve">38,200</w:t>
            </w:r>
          </w:p>
        </w:tc>
        <w:tc>
          <w:tcPr/>
          <w:p>
            <w:pPr>
              <w:pStyle w:val="Compact"/>
              <w:jc w:val="left"/>
            </w:pPr>
            <w:r>
              <w:t xml:space="preserve">35,150</w:t>
            </w:r>
          </w:p>
        </w:tc>
        <w:tc>
          <w:tcPr/>
          <w:p>
            <w:pPr>
              <w:pStyle w:val="Compact"/>
              <w:jc w:val="left"/>
            </w:pPr>
            <w:r>
              <w:t xml:space="preserve">+8.7%</w:t>
            </w:r>
          </w:p>
        </w:tc>
      </w:tr>
      <w:tr>
        <w:tc>
          <w:tcPr/>
          <w:p>
            <w:pPr>
              <w:pStyle w:val="Compact"/>
              <w:jc w:val="left"/>
            </w:pPr>
            <w:r>
              <w:t xml:space="preserve">Otc Medicine Sales (% of Total)</w:t>
            </w:r>
          </w:p>
        </w:tc>
        <w:tc>
          <w:tcPr/>
          <w:p>
            <w:pPr>
              <w:pStyle w:val="Compact"/>
              <w:jc w:val="left"/>
            </w:pPr>
            <w:r>
              <w:t xml:space="preserve">41.3%</w:t>
            </w:r>
          </w:p>
        </w:tc>
        <w:tc>
          <w:tcPr/>
          <w:p>
            <w:pPr>
              <w:pStyle w:val="Compact"/>
              <w:jc w:val="left"/>
            </w:pPr>
            <w:r>
              <w:t xml:space="preserve">38.9%</w:t>
            </w:r>
          </w:p>
        </w:tc>
        <w:tc>
          <w:tcPr/>
          <w:p>
            <w:pPr>
              <w:pStyle w:val="Compact"/>
              <w:jc w:val="left"/>
            </w:pPr>
            <w:r>
              <w:t xml:space="preserve">+2.4 pts</w:t>
            </w:r>
          </w:p>
        </w:tc>
      </w:tr>
    </w:tbl>
    <w:p>
      <w:pPr>
        <w:pStyle w:val="BodyText"/>
      </w:pPr>
      <w:r>
        <w:t xml:space="preserve">The 9.2% year-over-year sales growth significantly outperforms the Munich pharmacy market average of 5.4% (as per German Pharmaceutical Association data). This achievement is particularly notable given Germany's current economic headwinds, with Munich demonstrating resilience due to our tailored chemist service model.</w:t>
      </w:r>
    </w:p>
    <w:bookmarkEnd w:id="22"/>
    <w:bookmarkStart w:id="26" w:name="X1b20a5dfc84a4bd8f5865f5504c2724c775520b"/>
    <w:p>
      <w:pPr>
        <w:pStyle w:val="Heading2"/>
      </w:pPr>
      <w:r>
        <w:t xml:space="preserve">Product Category Analysis: Munich-Specific Trends</w:t>
      </w:r>
    </w:p>
    <w:bookmarkStart w:id="23" w:name="otc-medication-dominance"/>
    <w:p>
      <w:pPr>
        <w:pStyle w:val="Heading3"/>
      </w:pPr>
      <w:r>
        <w:t xml:space="preserve">1. OTC Medication Dominance</w:t>
      </w:r>
    </w:p>
    <w:p>
      <w:pPr>
        <w:pStyle w:val="FirstParagraph"/>
      </w:pPr>
      <w:r>
        <w:t xml:space="preserve">Otc sales grew to 41.3% of total revenue, driven by Munich-specific health trends. Demand surged for:</w:t>
      </w:r>
    </w:p>
    <w:p>
      <w:pPr>
        <w:numPr>
          <w:ilvl w:val="0"/>
          <w:numId w:val="1001"/>
        </w:numPr>
        <w:pStyle w:val="Compact"/>
      </w:pPr>
      <w:r>
        <w:rPr>
          <w:bCs/>
          <w:b/>
        </w:rPr>
        <w:t xml:space="preserve">Allergy Treatments (↑28% YoY)</w:t>
      </w:r>
      <w:r>
        <w:t xml:space="preserve">: High pollen counts in Bavarian regions increased demand for nasal sprays and antihistamines</w:t>
      </w:r>
    </w:p>
    <w:p>
      <w:pPr>
        <w:numPr>
          <w:ilvl w:val="0"/>
          <w:numId w:val="1001"/>
        </w:numPr>
        <w:pStyle w:val="Compact"/>
      </w:pPr>
      <w:r>
        <w:rPr>
          <w:bCs/>
          <w:b/>
        </w:rPr>
        <w:t xml:space="preserve">Sports Medicine (↑35% YoY)</w:t>
      </w:r>
      <w:r>
        <w:t xml:space="preserve">: Munich's active population (1.2M+ residents) fueled sales of kinesiology tape and joint support products</w:t>
      </w:r>
    </w:p>
    <w:bookmarkEnd w:id="23"/>
    <w:bookmarkStart w:id="24" w:name="premium-wellness-products"/>
    <w:p>
      <w:pPr>
        <w:pStyle w:val="Heading3"/>
      </w:pPr>
      <w:r>
        <w:t xml:space="preserve">2. Premium Wellness Products</w:t>
      </w:r>
    </w:p>
    <w:p>
      <w:pPr>
        <w:pStyle w:val="FirstParagraph"/>
      </w:pPr>
      <w:r>
        <w:t xml:space="preserve">Wellness product category reached 24.1% of sales (↑6.8% YoY), reflecting Munich's premium health market:</w:t>
      </w:r>
    </w:p>
    <w:p>
      <w:pPr>
        <w:numPr>
          <w:ilvl w:val="0"/>
          <w:numId w:val="1002"/>
        </w:numPr>
        <w:pStyle w:val="Compact"/>
      </w:pPr>
      <w:r>
        <w:t xml:space="preserve">Bio-certified supplements (e.g., Nordic berries, turmeric extracts) grew at 22% CAGR</w:t>
      </w:r>
    </w:p>
    <w:p>
      <w:pPr>
        <w:numPr>
          <w:ilvl w:val="0"/>
          <w:numId w:val="1002"/>
        </w:numPr>
        <w:pStyle w:val="Compact"/>
      </w:pPr>
      <w:r>
        <w:t xml:space="preserve">German-made natural cosmetics saw 31% increase in sales due to rising eco-consciousness</w:t>
      </w:r>
    </w:p>
    <w:bookmarkEnd w:id="24"/>
    <w:bookmarkStart w:id="25" w:name="prescription-pharmacy-performance"/>
    <w:p>
      <w:pPr>
        <w:pStyle w:val="Heading3"/>
      </w:pPr>
      <w:r>
        <w:t xml:space="preserve">3. Prescription Pharmacy Performance</w:t>
      </w:r>
    </w:p>
    <w:p>
      <w:pPr>
        <w:pStyle w:val="FirstParagraph"/>
      </w:pPr>
      <w:r>
        <w:t xml:space="preserve">Despite market consolidation, our chemist's prescription fulfillment system achieved 98.7% accuracy rate through integrated IT systems with Munich hospitals (Klinikum Rechts der Isar, University Hospital). This operational excellence contributed to 12% higher repeat customer rate compared to competitors.</w:t>
      </w:r>
    </w:p>
    <w:bookmarkEnd w:id="25"/>
    <w:bookmarkEnd w:id="26"/>
    <w:bookmarkStart w:id="27" w:name="X904e7e9f12212e45df0756bce5949cac4a9fd68"/>
    <w:p>
      <w:pPr>
        <w:pStyle w:val="Heading2"/>
      </w:pPr>
      <w:r>
        <w:t xml:space="preserve">Customer Behavior Insights: Munich Demographics</w:t>
      </w:r>
    </w:p>
    <w:p>
      <w:pPr>
        <w:pStyle w:val="FirstParagraph"/>
      </w:pPr>
      <w:r>
        <w:t xml:space="preserve">Analysis of 150,000+ customer transactions reveals distinct Munich patterns:</w:t>
      </w:r>
    </w:p>
    <w:p>
      <w:pPr>
        <w:numPr>
          <w:ilvl w:val="0"/>
          <w:numId w:val="1003"/>
        </w:numPr>
        <w:pStyle w:val="Compact"/>
      </w:pPr>
      <w:r>
        <w:rPr>
          <w:bCs/>
          <w:b/>
        </w:rPr>
        <w:t xml:space="preserve">Age Segmentation</w:t>
      </w:r>
      <w:r>
        <w:t xml:space="preserve">: 43% of customers aged 45-64 (highest spenders), with growing segment (28%) aged 35-44 seeking preventive care</w:t>
      </w:r>
    </w:p>
    <w:p>
      <w:pPr>
        <w:numPr>
          <w:ilvl w:val="0"/>
          <w:numId w:val="1003"/>
        </w:numPr>
        <w:pStyle w:val="Compact"/>
      </w:pPr>
      <w:r>
        <w:rPr>
          <w:bCs/>
          <w:b/>
        </w:rPr>
        <w:t xml:space="preserve">Seasonal Purchases</w:t>
      </w:r>
      <w:r>
        <w:t xml:space="preserve">: September/October peak driven by Munich's annual "Gesundheitswoche" (Health Week) events</w:t>
      </w:r>
    </w:p>
    <w:p>
      <w:pPr>
        <w:numPr>
          <w:ilvl w:val="0"/>
          <w:numId w:val="1003"/>
        </w:numPr>
        <w:pStyle w:val="Compact"/>
      </w:pPr>
      <w:r>
        <w:rPr>
          <w:bCs/>
          <w:b/>
        </w:rPr>
        <w:t xml:space="preserve">Private Prescription Trends</w:t>
      </w:r>
      <w:r>
        <w:t xml:space="preserve">: 68% of Munich patients prefer chemist pickup over home delivery, citing trust in physical staff expertise – a critical differentiator for our German operations</w:t>
      </w:r>
    </w:p>
    <w:bookmarkEnd w:id="27"/>
    <w:bookmarkStart w:id="30" w:name="Xa97696e72ff529d5c8f93b3812a9dd0893a3b59"/>
    <w:p>
      <w:pPr>
        <w:pStyle w:val="Heading2"/>
      </w:pPr>
      <w:r>
        <w:t xml:space="preserve">Challenges &amp; Strategic Opportunities in Germany Munich</w:t>
      </w:r>
    </w:p>
    <w:bookmarkStart w:id="28" w:name="key-challenges"/>
    <w:p>
      <w:pPr>
        <w:pStyle w:val="Heading3"/>
      </w:pPr>
      <w:r>
        <w:t xml:space="preserve">Key Challenges</w:t>
      </w:r>
    </w:p>
    <w:p>
      <w:pPr>
        <w:pStyle w:val="FirstParagraph"/>
      </w:pPr>
      <w:r>
        <w:rPr>
          <w:bCs/>
          <w:b/>
        </w:rPr>
        <w:t xml:space="preserve">Labor Shortages:</w:t>
      </w:r>
      <w:r>
        <w:t xml:space="preserve"> </w:t>
      </w:r>
      <w:r>
        <w:t xml:space="preserve">15% vacancy rate for pharmacists across Munich (vs. national average 8%), impacting service speed during peak hours.</w:t>
      </w:r>
    </w:p>
    <w:p>
      <w:pPr>
        <w:pStyle w:val="BodyText"/>
      </w:pPr>
      <w:r>
        <w:rPr>
          <w:bCs/>
          <w:b/>
        </w:rPr>
        <w:t xml:space="preserve">Regulatory Compliance Costs:</w:t>
      </w:r>
      <w:r>
        <w:t xml:space="preserve"> </w:t>
      </w:r>
      <w:r>
        <w:t xml:space="preserve">New EU pharmaceutical packaging regulations increased operational costs by €34k/quarter for Munich locations.</w:t>
      </w:r>
    </w:p>
    <w:bookmarkEnd w:id="28"/>
    <w:bookmarkStart w:id="29" w:name="strategic-opportunities"/>
    <w:p>
      <w:pPr>
        <w:pStyle w:val="Heading3"/>
      </w:pPr>
      <w:r>
        <w:t xml:space="preserve">Strategic Opportunities</w:t>
      </w:r>
    </w:p>
    <w:p>
      <w:pPr>
        <w:numPr>
          <w:ilvl w:val="0"/>
          <w:numId w:val="1004"/>
        </w:numPr>
        <w:pStyle w:val="Compact"/>
      </w:pPr>
      <w:r>
        <w:rPr>
          <w:bCs/>
          <w:b/>
        </w:rPr>
        <w:t xml:space="preserve">Leveraging Munich's Wellness Culture:</w:t>
      </w:r>
      <w:r>
        <w:t xml:space="preserve"> </w:t>
      </w:r>
      <w:r>
        <w:t xml:space="preserve">Partner with local yoga studios and wellness centers for cross-promotions (e.g., "Munich Vitality Bundle" – herbal teas + posture support)</w:t>
      </w:r>
    </w:p>
    <w:p>
      <w:pPr>
        <w:numPr>
          <w:ilvl w:val="0"/>
          <w:numId w:val="1004"/>
        </w:numPr>
        <w:pStyle w:val="Compact"/>
      </w:pPr>
      <w:r>
        <w:rPr>
          <w:bCs/>
          <w:b/>
        </w:rPr>
        <w:t xml:space="preserve">Digital Expansion:</w:t>
      </w:r>
      <w:r>
        <w:t xml:space="preserve"> </w:t>
      </w:r>
      <w:r>
        <w:t xml:space="preserve">Launch Munich-specific telehealth integration with Bayerische Landesärztekammer (Bavarian Physicians' Association) to enable virtual consultations within chemist premises</w:t>
      </w:r>
    </w:p>
    <w:p>
      <w:pPr>
        <w:numPr>
          <w:ilvl w:val="0"/>
          <w:numId w:val="1004"/>
        </w:numPr>
        <w:pStyle w:val="Compact"/>
      </w:pPr>
      <w:r>
        <w:rPr>
          <w:bCs/>
          <w:b/>
        </w:rPr>
        <w:t xml:space="preserve">Hyperlocal Product Sourcing:</w:t>
      </w:r>
      <w:r>
        <w:t xml:space="preserve"> </w:t>
      </w:r>
      <w:r>
        <w:t xml:space="preserve">Source 30% of organic products from Bavarian suppliers (e.g., Schlosshof Organic Farm in Freising) to appeal to Munich's local-first consumer trend</w:t>
      </w:r>
    </w:p>
    <w:bookmarkEnd w:id="29"/>
    <w:bookmarkEnd w:id="30"/>
    <w:bookmarkStart w:id="31" w:name="conclusion-forward-strategy"/>
    <w:p>
      <w:pPr>
        <w:pStyle w:val="Heading2"/>
      </w:pPr>
      <w:r>
        <w:t xml:space="preserve">Conclusion &amp; Forward Strategy</w:t>
      </w:r>
    </w:p>
    <w:p>
      <w:pPr>
        <w:pStyle w:val="FirstParagraph"/>
      </w:pPr>
      <w:r>
        <w:t xml:space="preserve">This Sales Report confirms that our chemist network in Germany Munich has established itself as a market leader through data-driven product assortment and community-centric service. The 9.2% growth rate demonstrates resilience against broader economic pressures, directly attributable to our Munich-specific operational model.</w:t>
      </w:r>
    </w:p>
    <w:p>
      <w:pPr>
        <w:pStyle w:val="BodyText"/>
      </w:pPr>
      <w:r>
        <w:t xml:space="preserve">For Q4 2023, we recommend:</w:t>
      </w:r>
    </w:p>
    <w:p>
      <w:pPr>
        <w:numPr>
          <w:ilvl w:val="0"/>
          <w:numId w:val="1005"/>
        </w:numPr>
        <w:pStyle w:val="Compact"/>
      </w:pPr>
      <w:r>
        <w:t xml:space="preserve">Implementing AI-powered demand forecasting for Munich pollen seasons (launching Q1 2024)</w:t>
      </w:r>
    </w:p>
    <w:p>
      <w:pPr>
        <w:numPr>
          <w:ilvl w:val="0"/>
          <w:numId w:val="1005"/>
        </w:numPr>
        <w:pStyle w:val="Compact"/>
      </w:pPr>
      <w:r>
        <w:t xml:space="preserve">Expanding "Munich Health Ambassador" program with local health influencers</w:t>
      </w:r>
    </w:p>
    <w:p>
      <w:pPr>
        <w:numPr>
          <w:ilvl w:val="0"/>
          <w:numId w:val="1005"/>
        </w:numPr>
        <w:pStyle w:val="Compact"/>
      </w:pPr>
      <w:r>
        <w:t xml:space="preserve">Piloting a mobile chemist service van targeting Munich's 45+ population in underserved neighborhoods</w:t>
      </w:r>
    </w:p>
    <w:p>
      <w:pPr>
        <w:pStyle w:val="FirstParagraph"/>
      </w:pPr>
      <w:r>
        <w:t xml:space="preserve">As Germany's pharmaceutical landscape evolves, our Munich chemist locations will remain at the forefront through continuous adaptation to regional consumer needs. This Sales Report underscores that strategic localization – not generic national tactics – is the key to sustainable growth in Germany's competitive pharmacy market. We project 12% sales growth for Q4 2023 based on current momentum, with Munich positioned as our flagship market for future German expansion.</w:t>
      </w:r>
    </w:p>
    <w:p>
      <w:pPr>
        <w:pStyle w:val="BodyText"/>
      </w:pPr>
      <w:r>
        <w:rPr>
          <w:bCs/>
          <w:b/>
        </w:rPr>
        <w:t xml:space="preserve">Prepared By:</w:t>
      </w:r>
      <w:r>
        <w:t xml:space="preserve"> </w:t>
      </w:r>
      <w:r>
        <w:t xml:space="preserve">Anja Wagner | Regional Sales Director, Bavaria</w:t>
      </w:r>
    </w:p>
    <w:p>
      <w:pPr>
        <w:pStyle w:val="BodyText"/>
      </w:pPr>
      <w:r>
        <w:rPr>
          <w:iCs/>
          <w:i/>
        </w:rPr>
        <w:t xml:space="preserve">"In the heart of Germany's innovation hub, our chemist serves not just prescriptions – but Munich's health journey."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Munich Chemist Performance Analysis</dc:title>
  <dc:creator/>
  <dc:language>en</dc:language>
  <cp:keywords/>
  <dcterms:created xsi:type="dcterms:W3CDTF">2025-12-11T14:24:24Z</dcterms:created>
  <dcterms:modified xsi:type="dcterms:W3CDTF">2025-12-11T14:24:24Z</dcterms:modified>
</cp:coreProperties>
</file>

<file path=docProps/custom.xml><?xml version="1.0" encoding="utf-8"?>
<Properties xmlns="http://schemas.openxmlformats.org/officeDocument/2006/custom-properties" xmlns:vt="http://schemas.openxmlformats.org/officeDocument/2006/docPropsVTypes"/>
</file>