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Performance</w:t>
      </w:r>
      <w:r>
        <w:t xml:space="preserve"> </w:t>
      </w:r>
      <w:r>
        <w:t xml:space="preserve">in</w:t>
      </w:r>
      <w:r>
        <w:t xml:space="preserve"> </w:t>
      </w:r>
      <w:r>
        <w:t xml:space="preserve">Indonesia</w:t>
      </w:r>
      <w:r>
        <w:t xml:space="preserve"> </w:t>
      </w:r>
      <w:r>
        <w:t xml:space="preserve">Jakarta</w:t>
      </w:r>
    </w:p>
    <w:bookmarkStart w:id="27" w:name="X0cd077834cc7560830322e3088804d8766890a3"/>
    <w:p>
      <w:pPr>
        <w:pStyle w:val="Heading1"/>
      </w:pPr>
      <w:r>
        <w:t xml:space="preserve">Quarterly Sales Report: Chemist Operations Analysis for Indonesia Jakarta Territory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PT Kimia Farma Distribusi Indonesia</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our **Chemist** network across **Indonesia Jakarta**, highlighting critical growth areas, market challenges, and strategic opportunities. Jakarta remains the most dynamic pharmaceutical hub in Indonesia, contributing 34% of our national revenue despite facing intense competition and logistical complexities. The quarter witnessed a 12.7% year-over-year increase in total sales volume, driven by robust demand for OTC medications and chronic disease management solutions within our **Chemist** outlets throughout Jakarta. This document serves as an essential strategic tool for optimizing **Chemist** operations in the Jakarta market.</w:t>
      </w:r>
    </w:p>
    <w:bookmarkEnd w:id="20"/>
    <w:bookmarkStart w:id="21" w:name="Xb96419af38850095fcaa177e174f9e34b155f05"/>
    <w:p>
      <w:pPr>
        <w:pStyle w:val="Heading2"/>
      </w:pPr>
      <w:r>
        <w:t xml:space="preserve">Market Context: Jakarta's Pharmaceutical Landscape</w:t>
      </w:r>
    </w:p>
    <w:p>
      <w:pPr>
        <w:pStyle w:val="FirstParagraph"/>
      </w:pPr>
      <w:r>
        <w:t xml:space="preserve">As the capital city of Indonesia, Jakarta houses over 12,000 registered **Chemist** outlets (pharmacies), representing approximately 38% of Indonesia’s total pharmacy network. The market is characterized by high consumer awareness, rising middle-class spending power, and stringent BPOM (Indonesian Food and Drug Authority) compliance requirements. In Q3 2023, Jakarta's pharmaceutical market grew at 7.2% YoY – outpacing the national average of 5.8%. Key drivers include increasing prevalence of lifestyle diseases (diabetes, hypertension), seasonal respiratory illnesses during monsoon season, and heightened consumer preference for reputable **Chemist** chains over informal vendors.</w:t>
      </w:r>
    </w:p>
    <w:bookmarkEnd w:id="21"/>
    <w:bookmarkStart w:id="22" w:name="performance-highlights-sales-data-trends"/>
    <w:p>
      <w:pPr>
        <w:pStyle w:val="Heading2"/>
      </w:pPr>
      <w:r>
        <w:t xml:space="preserve">Performance Highlights: Sales Data &amp; Trends</w:t>
      </w:r>
    </w:p>
    <w:p>
      <w:pPr>
        <w:pStyle w:val="FirstParagraph"/>
      </w:pPr>
      <w:r>
        <w:rPr>
          <w:bCs/>
          <w:b/>
        </w:rPr>
        <w:t xml:space="preserve">Total Revenue:</w:t>
      </w:r>
      <w:r>
        <w:t xml:space="preserve"> </w:t>
      </w:r>
      <w:r>
        <w:t xml:space="preserve">IDR 187.5 Billion (Up 12.7% YoY)</w:t>
      </w:r>
      <w:r>
        <w:br/>
      </w:r>
      <w:r>
        <w:rPr>
          <w:bCs/>
          <w:b/>
        </w:rPr>
        <w:t xml:space="preserve">Total Transactions:</w:t>
      </w:r>
      <w:r>
        <w:t xml:space="preserve"> </w:t>
      </w:r>
      <w:r>
        <w:t xml:space="preserve">1,438,000 (+9.2% YoY)</w:t>
      </w:r>
      <w:r>
        <w:br/>
      </w:r>
      <w:r>
        <w:rPr>
          <w:bCs/>
          <w:b/>
        </w:rPr>
        <w:t xml:space="preserve">Average Transaction Value (ATV):</w:t>
      </w:r>
      <w:r>
        <w:t xml:space="preserve"> </w:t>
      </w:r>
      <w:r>
        <w:t xml:space="preserve">IDR 130,350 (Up 3.4% YoY)</w:t>
      </w:r>
    </w:p>
    <w:p>
      <w:pPr>
        <w:pStyle w:val="BodyText"/>
      </w:pPr>
      <w:r>
        <w:rPr>
          <w:iCs/>
          <w:i/>
        </w:rPr>
        <w:t xml:space="preserve">Category Breakdown:</w:t>
      </w:r>
    </w:p>
    <w:p>
      <w:pPr>
        <w:numPr>
          <w:ilvl w:val="0"/>
          <w:numId w:val="1001"/>
        </w:numPr>
        <w:pStyle w:val="Compact"/>
      </w:pPr>
      <w:r>
        <w:rPr>
          <w:bCs/>
          <w:b/>
        </w:rPr>
        <w:t xml:space="preserve">OTC Medicines &amp; Cold Relief Products:</w:t>
      </w:r>
      <w:r>
        <w:t xml:space="preserve"> </w:t>
      </w:r>
      <w:r>
        <w:t xml:space="preserve">42% of sales (Highest growth: +18.3% YoY). Peak demand observed in Central and South Jakarta districts during monsoon season, with brands like "Batukin" and "Cito Flu" leading.</w:t>
      </w:r>
    </w:p>
    <w:p>
      <w:pPr>
        <w:numPr>
          <w:ilvl w:val="0"/>
          <w:numId w:val="1001"/>
        </w:numPr>
        <w:pStyle w:val="Compact"/>
      </w:pPr>
      <w:r>
        <w:rPr>
          <w:bCs/>
          <w:b/>
        </w:rPr>
        <w:t xml:space="preserve">Chronic Disease Management (Diabetes, Hypertension):</w:t>
      </w:r>
      <w:r>
        <w:t xml:space="preserve"> </w:t>
      </w:r>
      <w:r>
        <w:t xml:space="preserve">35% of sales (+9.8% YoY). Strong performance in suburban **Chemist** outlets near residential areas like Cibubur and Kelapa Gading.</w:t>
      </w:r>
    </w:p>
    <w:p>
      <w:pPr>
        <w:numPr>
          <w:ilvl w:val="0"/>
          <w:numId w:val="1001"/>
        </w:numPr>
        <w:pStyle w:val="Compact"/>
      </w:pPr>
      <w:r>
        <w:rPr>
          <w:bCs/>
          <w:b/>
        </w:rPr>
        <w:t xml:space="preserve">Personal Care &amp; Vitamins:</w:t>
      </w:r>
      <w:r>
        <w:t xml:space="preserve"> </w:t>
      </w:r>
      <w:r>
        <w:t xml:space="preserve">15% of sales (+14.6% YoY), driven by health-conscious urban consumers.</w:t>
      </w:r>
    </w:p>
    <w:p>
      <w:pPr>
        <w:numPr>
          <w:ilvl w:val="0"/>
          <w:numId w:val="1001"/>
        </w:numPr>
        <w:pStyle w:val="Compact"/>
      </w:pPr>
      <w:r>
        <w:rPr>
          <w:bCs/>
          <w:b/>
        </w:rPr>
        <w:t xml:space="preserve">Medical Devices:</w:t>
      </w:r>
      <w:r>
        <w:t xml:space="preserve"> </w:t>
      </w:r>
      <w:r>
        <w:t xml:space="preserve">8% of sales (+22.1% YoY), particularly glucometers and blood pressure monitors sold at premium **Chemist** locations in Sudirman area.</w:t>
      </w:r>
    </w:p>
    <w:bookmarkEnd w:id="22"/>
    <w:bookmarkStart w:id="23" w:name="key-success-factors-in-jakarta"/>
    <w:p>
      <w:pPr>
        <w:pStyle w:val="Heading2"/>
      </w:pPr>
      <w:r>
        <w:t xml:space="preserve">Key Success Factors in Jakarta</w:t>
      </w:r>
    </w:p>
    <w:p>
      <w:pPr>
        <w:pStyle w:val="FirstParagraph"/>
      </w:pPr>
      <w:r>
        <w:t xml:space="preserve">The success of our **Chemist** network in Jakarta stems from three strategic pillars:</w:t>
      </w:r>
    </w:p>
    <w:p>
      <w:pPr>
        <w:numPr>
          <w:ilvl w:val="0"/>
          <w:numId w:val="1002"/>
        </w:numPr>
        <w:pStyle w:val="Compact"/>
      </w:pPr>
      <w:r>
        <w:rPr>
          <w:bCs/>
          <w:b/>
        </w:rPr>
        <w:t xml:space="preserve">Hyperlocal Inventory Management:</w:t>
      </w:r>
      <w:r>
        <w:t xml:space="preserve"> </w:t>
      </w:r>
      <w:r>
        <w:t xml:space="preserve">Our Jakarta distribution center (located in Cikarang) implemented AI-driven stock optimization, reducing out-of-stocks by 27% for top-selling items like paracetamol and antacids. This directly supported **Chemist** performance across all Jakarta districts.</w:t>
      </w:r>
    </w:p>
    <w:p>
      <w:pPr>
        <w:numPr>
          <w:ilvl w:val="0"/>
          <w:numId w:val="1002"/>
        </w:numPr>
        <w:pStyle w:val="Compact"/>
      </w:pPr>
      <w:r>
        <w:rPr>
          <w:bCs/>
          <w:b/>
        </w:rPr>
        <w:t xml:space="preserve">Strategic Location &amp; Accessibility:</w:t>
      </w:r>
      <w:r>
        <w:t xml:space="preserve"> </w:t>
      </w:r>
      <w:r>
        <w:t xml:space="preserve">Over 85% of our **Chemist** outlets in Jakarta are situated within 1.5 km of major residential complexes, supermarkets (e.g., Lotte Mart, Carrefour), or office hubs – a critical factor for the city's traffic-congested environment.</w:t>
      </w:r>
    </w:p>
    <w:p>
      <w:pPr>
        <w:numPr>
          <w:ilvl w:val="0"/>
          <w:numId w:val="1002"/>
        </w:numPr>
        <w:pStyle w:val="Compact"/>
      </w:pPr>
      <w:r>
        <w:rPr>
          <w:bCs/>
          <w:b/>
        </w:rPr>
        <w:t xml:space="preserve">BPOM Compliance &amp; Consumer Trust:</w:t>
      </w:r>
      <w:r>
        <w:t xml:space="preserve"> </w:t>
      </w:r>
      <w:r>
        <w:t xml:space="preserve">Strict adherence to Indonesia's BPOM regulations across all Jakarta **Chemist** locations has built significant brand credibility. 78% of surveyed customers cited "trusted pharmacy" as their primary reason for choosing our outlets over competitors.</w:t>
      </w:r>
    </w:p>
    <w:bookmarkEnd w:id="23"/>
    <w:bookmarkStart w:id="24" w:name="competitive-analysis-challenges"/>
    <w:p>
      <w:pPr>
        <w:pStyle w:val="Heading2"/>
      </w:pPr>
      <w:r>
        <w:t xml:space="preserve">Competitive Analysis &amp; Challenges</w:t>
      </w:r>
    </w:p>
    <w:p>
      <w:pPr>
        <w:pStyle w:val="FirstParagraph"/>
      </w:pPr>
      <w:r>
        <w:t xml:space="preserve">Jakarta's **Chemist** market is fiercely competitive, with major players like Guardian (1,800+ outlets), Apotek K24 (1,500+ outlets), and local chains such as Kimia Farma Apotek. Key challenges include:</w:t>
      </w:r>
    </w:p>
    <w:p>
      <w:pPr>
        <w:numPr>
          <w:ilvl w:val="0"/>
          <w:numId w:val="1003"/>
        </w:numPr>
        <w:pStyle w:val="Compact"/>
      </w:pPr>
      <w:r>
        <w:rPr>
          <w:bCs/>
          <w:b/>
        </w:rPr>
        <w:t xml:space="preserve">Logistics &amp; Traffic:</w:t>
      </w:r>
      <w:r>
        <w:t xml:space="preserve"> </w:t>
      </w:r>
      <w:r>
        <w:t xml:space="preserve">Jakarta’s average commute time of 78 minutes significantly increases last-mile delivery costs for **Chemist** inventory (up 20% vs. national average).</w:t>
      </w:r>
    </w:p>
    <w:p>
      <w:pPr>
        <w:numPr>
          <w:ilvl w:val="0"/>
          <w:numId w:val="1003"/>
        </w:numPr>
        <w:pStyle w:val="Compact"/>
      </w:pPr>
      <w:r>
        <w:rPr>
          <w:bCs/>
          <w:b/>
        </w:rPr>
        <w:t xml:space="preserve">Pricing Pressure:</w:t>
      </w:r>
      <w:r>
        <w:t xml:space="preserve"> </w:t>
      </w:r>
      <w:r>
        <w:t xml:space="preserve">Competitors frequently run price wars on essential OTC products, squeezing margins in high-volume categories.</w:t>
      </w:r>
    </w:p>
    <w:p>
      <w:pPr>
        <w:numPr>
          <w:ilvl w:val="0"/>
          <w:numId w:val="1003"/>
        </w:numPr>
        <w:pStyle w:val="Compact"/>
      </w:pPr>
      <w:r>
        <w:rPr>
          <w:bCs/>
          <w:b/>
        </w:rPr>
        <w:t xml:space="preserve">Regulatory Complexity:</w:t>
      </w:r>
      <w:r>
        <w:t xml:space="preserve"> </w:t>
      </w:r>
      <w:r>
        <w:t xml:space="preserve">Evolving BPOM requirements for digital prescription systems necessitate continuous training across Jakarta **Chemist** staff.</w:t>
      </w:r>
    </w:p>
    <w:bookmarkEnd w:id="24"/>
    <w:bookmarkStart w:id="25" w:name="X44db11d2e8fb34436d7c82a74cf8f29d518e484"/>
    <w:p>
      <w:pPr>
        <w:pStyle w:val="Heading2"/>
      </w:pPr>
      <w:r>
        <w:t xml:space="preserve">Actionable Recommendations for Jakarta Chemist Growth</w:t>
      </w:r>
    </w:p>
    <w:p>
      <w:pPr>
        <w:pStyle w:val="FirstParagraph"/>
      </w:pPr>
      <w:r>
        <w:t xml:space="preserve">To sustain and accelerate growth in **Indonesia Jakarta**, we propose the following targeted actions:</w:t>
      </w:r>
    </w:p>
    <w:p>
      <w:pPr>
        <w:numPr>
          <w:ilvl w:val="0"/>
          <w:numId w:val="1004"/>
        </w:numPr>
        <w:pStyle w:val="Compact"/>
      </w:pPr>
      <w:r>
        <w:rPr>
          <w:bCs/>
          <w:b/>
        </w:rPr>
        <w:t xml:space="preserve">Expand Premium "Pharmacy Plus" Model:</w:t>
      </w:r>
      <w:r>
        <w:t xml:space="preserve"> </w:t>
      </w:r>
      <w:r>
        <w:t xml:space="preserve">Pilot 15 new flagship **Chemist** outlets in high-income areas (Palm Springs, Menteng) offering extended hours, teleconsultation services, and loyalty programs. Jakarta's affluent demographics show strong willingness to pay for premium pharmaceutical services.</w:t>
      </w:r>
    </w:p>
    <w:p>
      <w:pPr>
        <w:numPr>
          <w:ilvl w:val="0"/>
          <w:numId w:val="1004"/>
        </w:numPr>
        <w:pStyle w:val="Compact"/>
      </w:pPr>
      <w:r>
        <w:rPr>
          <w:bCs/>
          <w:b/>
        </w:rPr>
        <w:t xml:space="preserve">Invest in Last-Mile Delivery Tech:</w:t>
      </w:r>
      <w:r>
        <w:t xml:space="preserve"> </w:t>
      </w:r>
      <w:r>
        <w:t xml:space="preserve">Partner with local logistics provider "J&amp;T Express" to implement drone-assisted deliveries for urgent medication requests within Jakarta metropolitan area – reducing delivery times by 40% during traffic peaks.</w:t>
      </w:r>
    </w:p>
    <w:p>
      <w:pPr>
        <w:numPr>
          <w:ilvl w:val="0"/>
          <w:numId w:val="1004"/>
        </w:numPr>
        <w:pStyle w:val="Compact"/>
      </w:pPr>
      <w:r>
        <w:rPr>
          <w:bCs/>
          <w:b/>
        </w:rPr>
        <w:t xml:space="preserve">Enhance Digital Integration:</w:t>
      </w:r>
      <w:r>
        <w:t xml:space="preserve"> </w:t>
      </w:r>
      <w:r>
        <w:t xml:space="preserve">Launch a dedicated Jakarta mobile app offering prescription refills, health tips in Bahasa Indonesia, and exclusive discounts for frequent **Chemist** customers. This directly addresses the digital-savvy consumer base prevalent in Jakarta.</w:t>
      </w:r>
    </w:p>
    <w:p>
      <w:pPr>
        <w:numPr>
          <w:ilvl w:val="0"/>
          <w:numId w:val="1004"/>
        </w:numPr>
        <w:pStyle w:val="Compact"/>
      </w:pPr>
      <w:r>
        <w:rPr>
          <w:bCs/>
          <w:b/>
        </w:rPr>
        <w:t xml:space="preserve">Strengthen Localized Product Offerings:</w:t>
      </w:r>
      <w:r>
        <w:t xml:space="preserve"> </w:t>
      </w:r>
      <w:r>
        <w:t xml:space="preserve">Develop region-specific OTC bundles for Jakarta (e.g., "Monsoon Relief Pack" with cough syrup, humidifier, and vitamin C) based on seasonal health trends observed across **Chemist** data.</w:t>
      </w:r>
    </w:p>
    <w:bookmarkEnd w:id="25"/>
    <w:bookmarkStart w:id="26" w:name="Xac467dd22098404d320052d8c80610bde2a22c5"/>
    <w:p>
      <w:pPr>
        <w:pStyle w:val="Heading2"/>
      </w:pPr>
      <w:r>
        <w:t xml:space="preserve">Conclusion: The Future of Chemist in Indonesia Jakarta</w:t>
      </w:r>
    </w:p>
    <w:p>
      <w:pPr>
        <w:pStyle w:val="FirstParagraph"/>
      </w:pPr>
      <w:r>
        <w:t xml:space="preserve">The Q3 2023 performance underscores that **Chemist** operations are not merely a revenue channel but the critical frontline for pharmaceutical access and health engagement in **Indonesia Jakarta**. With Jakarta driving nearly one-third of our national sales, this market demands strategic investment beyond standard retail models. Our focus on hyperlocal inventory, BPOM compliance, and customer trust has positioned us strongly against competitors. The proposed initiatives – particularly premium outlet expansion, delivery innovation, and digital integration – are designed to leverage Jakarta's unique urban dynamics while meeting the evolving healthcare needs of its 10 million+ population.</w:t>
      </w:r>
    </w:p>
    <w:p>
      <w:pPr>
        <w:pStyle w:val="BodyText"/>
      </w:pPr>
      <w:r>
        <w:t xml:space="preserve">Continued success requires deepening our understanding of Jakarta’s diverse neighborhoods, from the bustling commercial zones of Thamrin to the family-centric suburbs. As **Chemist** networks evolve in **Indonesia Jakarta**, they must remain agile, compliant, and deeply embedded in community health – turning every transaction into an opportunity for lasting customer trust and market leadership.</w:t>
      </w:r>
    </w:p>
    <w:p>
      <w:pPr>
        <w:pStyle w:val="BodyText"/>
      </w:pPr>
      <w:r>
        <w:rPr>
          <w:bCs/>
          <w:b/>
        </w:rPr>
        <w:t xml:space="preserve">Prepared by:</w:t>
      </w:r>
      <w:r>
        <w:t xml:space="preserve"> </w:t>
      </w:r>
      <w:r>
        <w:t xml:space="preserve">Sales Analytics Department, PT Kimia Farma Distribusi Indonesia</w:t>
      </w:r>
      <w:r>
        <w:br/>
      </w:r>
      <w:r>
        <w:rPr>
          <w:bCs/>
          <w:b/>
        </w:rPr>
        <w:t xml:space="preserve">Location Focus:</w:t>
      </w:r>
      <w:r>
        <w:t xml:space="preserve"> </w:t>
      </w:r>
      <w:r>
        <w:t xml:space="preserve">Jakarta Metropolitan Area (Central, South, East, West Jakarta &amp; Key Suburbs)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Performance in Indonesia Jakarta</dc:title>
  <dc:creator/>
  <dc:language>en</dc:language>
  <cp:keywords/>
  <dcterms:created xsi:type="dcterms:W3CDTF">2026-07-23T18:16:15Z</dcterms:created>
  <dcterms:modified xsi:type="dcterms:W3CDTF">2026-07-23T18:16:15Z</dcterms:modified>
</cp:coreProperties>
</file>

<file path=docProps/custom.xml><?xml version="1.0" encoding="utf-8"?>
<Properties xmlns="http://schemas.openxmlformats.org/officeDocument/2006/custom-properties" xmlns:vt="http://schemas.openxmlformats.org/officeDocument/2006/docPropsVTypes"/>
</file>