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Osaka</w:t>
      </w:r>
      <w:r>
        <w:t xml:space="preserve"> </w:t>
      </w:r>
      <w:r>
        <w:t xml:space="preserve">Chemist</w:t>
      </w:r>
      <w:r>
        <w:t xml:space="preserve"> </w:t>
      </w:r>
      <w:r>
        <w:t xml:space="preserve">Pharmacy</w:t>
      </w:r>
      <w:r>
        <w:t xml:space="preserve"> </w:t>
      </w:r>
      <w:r>
        <w:t xml:space="preserve">Network</w:t>
      </w:r>
    </w:p>
    <w:bookmarkStart w:id="28" w:name="X5cbee2fd6537133894e3b205028c791884d66b5"/>
    <w:p>
      <w:pPr>
        <w:pStyle w:val="Heading1"/>
      </w:pPr>
      <w:r>
        <w:t xml:space="preserve">QUARTERLY SALES REPORT: OSAKA CHEMIST PHARMACY NETWORK (JAPAN)</w:t>
      </w:r>
    </w:p>
    <w:bookmarkStart w:id="20" w:name="executive-summary"/>
    <w:p>
      <w:pPr>
        <w:pStyle w:val="Heading2"/>
      </w:pPr>
      <w:r>
        <w:t xml:space="preserve">Executive Summary</w:t>
      </w:r>
    </w:p>
    <w:p>
      <w:pPr>
        <w:pStyle w:val="FirstParagraph"/>
      </w:pPr>
      <w:r>
        <w:t xml:space="preserve">This comprehensive Sales Report details the performance of our Chemist pharmacy network across Osaka, Japan for Q3 2023. Operating under strict Japanese pharmaceutical regulations, our Osaka-based Chemist locations have demonstrated remarkable resilience and strategic growth amidst evolving market dynamics. This report confirms a 14.7% year-over-year revenue increase, reaching ¥189 million (USD $1.3M), with Osaka contributing 38% of our national sales volume. The success is attributed to hyper-localized customer engagement strategies and adherence to Japan's stringent pharmaceutical standards.</w:t>
      </w:r>
    </w:p>
    <w:bookmarkEnd w:id="20"/>
    <w:bookmarkStart w:id="21" w:name="X3a74ed6562e164c877b984c907e3f96878ce34e"/>
    <w:p>
      <w:pPr>
        <w:pStyle w:val="Heading2"/>
      </w:pPr>
      <w:r>
        <w:t xml:space="preserve">Market Context: Chemist Operations in Japan Osaka</w:t>
      </w:r>
    </w:p>
    <w:p>
      <w:pPr>
        <w:pStyle w:val="FirstParagraph"/>
      </w:pPr>
      <w:r>
        <w:t xml:space="preserve">Osaka represents one of Japan's most dynamic pharmaceutical markets, characterized by a rapidly aging population (28% aged 65+), high urban density, and strong consumer preference for preventive healthcare. As a leading Chemist chain operating under the Japanese Pharmaceutical Affairs Act (PAA), our Osaka pharmacies are uniquely positioned to serve both urban centers like Namba and suburban communities like Toyonaka. Our 12-store network across Osaka Prefecture adheres to Japan's 2021 Pharmacy Modernization Law, ensuring all operations comply with national guidelines for prescription accuracy and patient counseling.</w:t>
      </w:r>
    </w:p>
    <w:bookmarkEnd w:id="21"/>
    <w:bookmarkStart w:id="22" w:name="key-performance-indicators-q3-2023"/>
    <w:p>
      <w:pPr>
        <w:pStyle w:val="Heading2"/>
      </w:pPr>
      <w:r>
        <w:t xml:space="preserve">Key Performance Indicators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Target Achieved?</w:t>
            </w:r>
          </w:p>
        </w:tc>
      </w:tr>
      <w:tr>
        <w:tc>
          <w:tcPr/>
          <w:p>
            <w:pPr>
              <w:pStyle w:val="Compact"/>
              <w:jc w:val="left"/>
            </w:pPr>
            <w:r>
              <w:t xml:space="preserve">Total Revenue (¥)</w:t>
            </w:r>
          </w:p>
        </w:tc>
        <w:tc>
          <w:tcPr/>
          <w:p>
            <w:pPr>
              <w:pStyle w:val="Compact"/>
              <w:jc w:val="left"/>
            </w:pPr>
            <w:r>
              <w:t xml:space="preserve">189,000,000</w:t>
            </w:r>
          </w:p>
        </w:tc>
        <w:tc>
          <w:tcPr/>
          <w:p>
            <w:pPr>
              <w:pStyle w:val="Compact"/>
              <w:jc w:val="left"/>
            </w:pPr>
            <w:r>
              <w:t xml:space="preserve">+14.7%</w:t>
            </w:r>
          </w:p>
        </w:tc>
        <w:tc>
          <w:tcPr/>
          <w:p>
            <w:pPr>
              <w:pStyle w:val="Compact"/>
              <w:jc w:val="left"/>
            </w:pPr>
            <w:r>
              <w:t xml:space="preserve">Yes (123%)</w:t>
            </w:r>
          </w:p>
        </w:tc>
      </w:tr>
      <w:tr>
        <w:tc>
          <w:tcPr/>
          <w:p>
            <w:pPr>
              <w:pStyle w:val="Compact"/>
              <w:jc w:val="left"/>
            </w:pPr>
            <w:r>
              <w:t xml:space="preserve">Average Daily Transactions</w:t>
            </w:r>
          </w:p>
        </w:tc>
        <w:tc>
          <w:tcPr/>
          <w:p>
            <w:pPr>
              <w:pStyle w:val="Compact"/>
              <w:jc w:val="left"/>
            </w:pPr>
            <w:r>
              <w:t xml:space="preserve">2,856</w:t>
            </w:r>
          </w:p>
        </w:tc>
        <w:tc>
          <w:tcPr/>
          <w:p>
            <w:pPr>
              <w:pStyle w:val="Compact"/>
              <w:jc w:val="left"/>
            </w:pPr>
            <w:r>
              <w:t xml:space="preserve">+19.3%</w:t>
            </w:r>
          </w:p>
        </w:tc>
        <w:tc>
          <w:tcPr/>
          <w:p>
            <w:pPr>
              <w:pStyle w:val="Compact"/>
              <w:jc w:val="left"/>
            </w:pPr>
            <w:r>
              <w:t xml:space="preserve">Yes (107%)</w:t>
            </w:r>
          </w:p>
        </w:tc>
      </w:tr>
      <w:tr>
        <w:tc>
          <w:tcPr/>
          <w:p>
            <w:pPr>
              <w:pStyle w:val="Compact"/>
              <w:jc w:val="left"/>
            </w:pPr>
            <w:r>
              <w:t xml:space="preserve">Patient Consultation Rate</w:t>
            </w:r>
          </w:p>
        </w:tc>
        <w:tc>
          <w:tcPr/>
          <w:p>
            <w:pPr>
              <w:pStyle w:val="Compact"/>
              <w:jc w:val="left"/>
            </w:pPr>
            <w:r>
              <w:t xml:space="preserve">87.4%</w:t>
            </w:r>
          </w:p>
        </w:tc>
        <w:tc>
          <w:tcPr/>
          <w:p>
            <w:pPr>
              <w:pStyle w:val="Compact"/>
              <w:jc w:val="left"/>
            </w:pPr>
            <w:r>
              <w:t xml:space="preserve">+12.1%</w:t>
            </w:r>
          </w:p>
        </w:tc>
        <w:tc>
          <w:tcPr/>
          <w:p>
            <w:pPr>
              <w:pStyle w:val="Compact"/>
              <w:jc w:val="left"/>
            </w:pPr>
            <w:r>
              <w:t xml:space="preserve">Yes (135%)</w:t>
            </w:r>
          </w:p>
        </w:tc>
      </w:tr>
      <w:tr>
        <w:tc>
          <w:tcPr/>
          <w:p>
            <w:pPr>
              <w:pStyle w:val="Compact"/>
              <w:jc w:val="left"/>
            </w:pPr>
            <w:r>
              <w:t xml:space="preserve">Loyalty Program Membership Growth</w:t>
            </w:r>
          </w:p>
        </w:tc>
        <w:tc>
          <w:tcPr/>
          <w:p>
            <w:pPr>
              <w:pStyle w:val="Compact"/>
              <w:jc w:val="left"/>
            </w:pPr>
            <w:r>
              <w:t xml:space="preserve">3,842 new members</w:t>
            </w:r>
          </w:p>
        </w:tc>
        <w:tc>
          <w:tcPr/>
          <w:p>
            <w:pPr>
              <w:pStyle w:val="Compact"/>
              <w:jc w:val="left"/>
            </w:pPr>
            <w:r>
              <w:t xml:space="preserve">+27.6%</w:t>
            </w:r>
          </w:p>
        </w:tc>
        <w:tc>
          <w:tcPr/>
          <w:p>
            <w:pPr>
              <w:pStyle w:val="Compact"/>
              <w:jc w:val="left"/>
            </w:pPr>
            <w:r>
              <w:t xml:space="preserve">Yes (142%)</w:t>
            </w:r>
          </w:p>
        </w:tc>
      </w:tr>
    </w:tbl>
    <w:bookmarkEnd w:id="22"/>
    <w:bookmarkStart w:id="23" w:name="X818c9ad92fa4b0c7375b3cc86ab1512a6079ee5"/>
    <w:p>
      <w:pPr>
        <w:pStyle w:val="Heading2"/>
      </w:pPr>
      <w:r>
        <w:t xml:space="preserve">Product Category Performance: Osaka Chemist Focus Areas</w:t>
      </w:r>
    </w:p>
    <w:p>
      <w:pPr>
        <w:pStyle w:val="FirstParagraph"/>
      </w:pPr>
      <w:r>
        <w:rPr>
          <w:bCs/>
          <w:b/>
        </w:rPr>
        <w:t xml:space="preserve">1. Over-the-Counter (OTC) Medications:</w:t>
      </w:r>
      <w:r>
        <w:br/>
      </w:r>
      <w:r>
        <w:t xml:space="preserve">Sales surged 21.4% driven by seasonal influenza prevention products and chronic condition management kits. Osaka consumers specifically demanded locally relevant OTC solutions like 'Kansai Special' cold formulas containing traditional Japanese herbal ingredients (e.g., Honeysuckle, Mint). Our Chemist stores implemented region-specific inventory adjustments based on Osaka's unique weather patterns, leading to 92% stock accuracy during peak demand periods.</w:t>
      </w:r>
    </w:p>
    <w:p>
      <w:pPr>
        <w:pStyle w:val="BodyText"/>
      </w:pPr>
      <w:r>
        <w:rPr>
          <w:bCs/>
          <w:b/>
        </w:rPr>
        <w:t xml:space="preserve">2. Personal Care &amp; Wellness:</w:t>
      </w:r>
      <w:r>
        <w:br/>
      </w:r>
      <w:r>
        <w:t xml:space="preserve">This category grew 18.9% as Osaka's wellness tourism boom increased demand for travel-sized skincare and stress-management products. Our Chemist stores partnered with local Kyoto tea producers for exclusive 'Osaka Wellness Kits', featuring matcha-based skincare and calming herbal teas – resulting in a 35% higher average transaction value (ATV) compared to national averages.</w:t>
      </w:r>
    </w:p>
    <w:p>
      <w:pPr>
        <w:pStyle w:val="BodyText"/>
      </w:pPr>
      <w:r>
        <w:rPr>
          <w:bCs/>
          <w:b/>
        </w:rPr>
        <w:t xml:space="preserve">3. Prescription Medications:</w:t>
      </w:r>
      <w:r>
        <w:br/>
      </w:r>
      <w:r>
        <w:t xml:space="preserve">Despite Japan's 10% nationwide prescription growth ceiling, Osaka Chemist achieved +7.2% growth through enhanced medication therapy management (MTM). Our pharmacists' proactive consultations reduced patient abandonment rates by 22%, directly boosting repeat prescriptions for chronic conditions like hypertension and diabetes.</w:t>
      </w:r>
    </w:p>
    <w:bookmarkEnd w:id="23"/>
    <w:bookmarkStart w:id="24" w:name="Xd4d2564cdb9e56d29d2aeb5d9ec5ea5201feea7"/>
    <w:p>
      <w:pPr>
        <w:pStyle w:val="Heading2"/>
      </w:pPr>
      <w:r>
        <w:t xml:space="preserve">Customer Insights: The Osaka Chemist Experience</w:t>
      </w:r>
    </w:p>
    <w:p>
      <w:pPr>
        <w:pStyle w:val="FirstParagraph"/>
      </w:pPr>
      <w:r>
        <w:t xml:space="preserve">Post-purchase surveys reveal Osaka customers prioritize:</w:t>
      </w:r>
      <w:r>
        <w:br/>
      </w:r>
      <w:r>
        <w:t xml:space="preserve">•</w:t>
      </w:r>
      <w:r>
        <w:t xml:space="preserve"> </w:t>
      </w:r>
      <w:r>
        <w:rPr>
          <w:bCs/>
          <w:b/>
        </w:rPr>
        <w:t xml:space="preserve">Cultural Relevance:</w:t>
      </w:r>
      <w:r>
        <w:t xml:space="preserve"> </w:t>
      </w:r>
      <w:r>
        <w:t xml:space="preserve">78% preferred products incorporating Japanese traditional medicine (Kampo) – prompting our Chemist network to expand Kampo formulations by 40% in Osaka stores.</w:t>
      </w:r>
      <w:r>
        <w:br/>
      </w:r>
      <w:r>
        <w:t xml:space="preserve">•</w:t>
      </w:r>
      <w:r>
        <w:t xml:space="preserve"> </w:t>
      </w:r>
      <w:r>
        <w:rPr>
          <w:bCs/>
          <w:b/>
        </w:rPr>
        <w:t xml:space="preserve">Personalized Service:</w:t>
      </w:r>
      <w:r>
        <w:t xml:space="preserve"> </w:t>
      </w:r>
      <w:r>
        <w:t xml:space="preserve">63% cited pharmacists' ability to explain medication effects in Osaka dialect (Osaka-ben) as a key differentiator.</w:t>
      </w:r>
      <w:r>
        <w:br/>
      </w:r>
      <w:r>
        <w:t xml:space="preserve">•</w:t>
      </w:r>
      <w:r>
        <w:t xml:space="preserve"> </w:t>
      </w:r>
      <w:r>
        <w:rPr>
          <w:bCs/>
          <w:b/>
        </w:rPr>
        <w:t xml:space="preserve">Convenience:</w:t>
      </w:r>
      <w:r>
        <w:t xml:space="preserve"> </w:t>
      </w:r>
      <w:r>
        <w:t xml:space="preserve">Integration with Rakuten Pay and Japan's national electronic health records system increased foot traffic by 15.2%.</w:t>
      </w:r>
    </w:p>
    <w:p>
      <w:pPr>
        <w:pStyle w:val="BodyText"/>
      </w:pPr>
      <w:r>
        <w:t xml:space="preserve">A notable case study involved our Namba Chemist store collaborating with Osaka University Hospital to create 'Hospital-Pharmacy Care Paths' – reducing patient wait times by 37% for chronic disease management through synchronized prescription workflows.</w:t>
      </w:r>
    </w:p>
    <w:bookmarkEnd w:id="24"/>
    <w:bookmarkStart w:id="25" w:name="market-challenges-strategic-responses"/>
    <w:p>
      <w:pPr>
        <w:pStyle w:val="Heading2"/>
      </w:pPr>
      <w:r>
        <w:t xml:space="preserve">Market Challenges &amp; Strategic Responses</w:t>
      </w:r>
    </w:p>
    <w:p>
      <w:pPr>
        <w:pStyle w:val="FirstParagraph"/>
      </w:pPr>
      <w:r>
        <w:rPr>
          <w:iCs/>
          <w:i/>
        </w:rPr>
        <w:t xml:space="preserve">Challenge: Rising Healthcare Costs in Japan</w:t>
      </w:r>
      <w:r>
        <w:br/>
      </w:r>
      <w:r>
        <w:t xml:space="preserve"> </w:t>
      </w:r>
      <w:r>
        <w:t xml:space="preserve">Japan's 2023 healthcare cost inflation (6.8%) pressured margins. Our Osaka Chemist network countered by:</w:t>
      </w:r>
      <w:r>
        <w:br/>
      </w:r>
      <w:r>
        <w:t xml:space="preserve">• Implementing AI-driven inventory systems that reduced waste by 19%</w:t>
      </w:r>
      <w:r>
        <w:br/>
      </w:r>
      <w:r>
        <w:t xml:space="preserve">• Partnering with local manufacturers for bulk OTC purchases, securing 15% cost savings</w:t>
      </w:r>
      <w:r>
        <w:br/>
      </w:r>
    </w:p>
    <w:p>
      <w:pPr>
        <w:pStyle w:val="BodyText"/>
      </w:pPr>
      <w:r>
        <w:rPr>
          <w:iCs/>
          <w:i/>
        </w:rPr>
        <w:t xml:space="preserve">Challenge: Regulatory Compliance Complexity</w:t>
      </w:r>
      <w:r>
        <w:br/>
      </w:r>
      <w:r>
        <w:t xml:space="preserve"> </w:t>
      </w:r>
      <w:r>
        <w:t xml:space="preserve">Japan's updated PAA requirements (effective April 2023) increased documentation demands. Osaka Chemist addressed this by:</w:t>
      </w:r>
      <w:r>
        <w:br/>
      </w:r>
      <w:r>
        <w:t xml:space="preserve">• Training all pharmacists in Osaka's new digital reporting protocols (achieving 100% compliance)</w:t>
      </w:r>
      <w:r>
        <w:br/>
      </w:r>
      <w:r>
        <w:t xml:space="preserve">• Developing a localized 'Compliance Dashboard' tracking real-time regulatory metrics across stores</w:t>
      </w:r>
    </w:p>
    <w:bookmarkEnd w:id="25"/>
    <w:bookmarkStart w:id="26" w:name="X028ca50319587ba3a5324af4a1302f12fe792a9"/>
    <w:p>
      <w:pPr>
        <w:pStyle w:val="Heading2"/>
      </w:pPr>
      <w:r>
        <w:t xml:space="preserve">Future Growth Strategy for Japan Osaka Market</w:t>
      </w:r>
    </w:p>
    <w:p>
      <w:pPr>
        <w:pStyle w:val="FirstParagraph"/>
      </w:pPr>
      <w:r>
        <w:t xml:space="preserve">Based on Q3 insights, we are launching three Osaka-specific initiatives:</w:t>
      </w:r>
    </w:p>
    <w:p>
      <w:pPr>
        <w:numPr>
          <w:ilvl w:val="0"/>
          <w:numId w:val="1001"/>
        </w:numPr>
        <w:pStyle w:val="Compact"/>
      </w:pPr>
      <w:r>
        <w:rPr>
          <w:bCs/>
          <w:b/>
        </w:rPr>
        <w:t xml:space="preserve">Osaka Kampo Hub Network:</w:t>
      </w:r>
      <w:r>
        <w:t xml:space="preserve"> </w:t>
      </w:r>
      <w:r>
        <w:t xml:space="preserve">Expanding specialized herbal medicine sections in 5 flagship stores, featuring exclusive formulations developed with Kyoto Kampo experts.</w:t>
      </w:r>
    </w:p>
    <w:p>
      <w:pPr>
        <w:numPr>
          <w:ilvl w:val="0"/>
          <w:numId w:val="1001"/>
        </w:numPr>
        <w:pStyle w:val="Compact"/>
      </w:pPr>
      <w:r>
        <w:rPr>
          <w:bCs/>
          <w:b/>
        </w:rPr>
        <w:t xml:space="preserve">Precise Delivery System:</w:t>
      </w:r>
      <w:r>
        <w:t xml:space="preserve"> </w:t>
      </w:r>
      <w:r>
        <w:t xml:space="preserve">Partnering with Osaka Metro to enable same-day prescription delivery within 30 minutes for all urban locations (launching Q1 2024).</w:t>
      </w:r>
    </w:p>
    <w:p>
      <w:pPr>
        <w:numPr>
          <w:ilvl w:val="0"/>
          <w:numId w:val="1001"/>
        </w:numPr>
        <w:pStyle w:val="Compact"/>
      </w:pPr>
      <w:r>
        <w:rPr>
          <w:bCs/>
          <w:b/>
        </w:rPr>
        <w:t xml:space="preserve">Cultural Wellness Tours:</w:t>
      </w:r>
      <w:r>
        <w:t xml:space="preserve"> </w:t>
      </w:r>
      <w:r>
        <w:t xml:space="preserve">Creating 'Chemist Experiences' at Osaka's Universal Studios Japan, offering wellness consultations and product sampling during peak tourism seasons.</w:t>
      </w:r>
    </w:p>
    <w:bookmarkEnd w:id="26"/>
    <w:bookmarkStart w:id="27" w:name="X2e317edbf88d7e4f4e22c548bcf63f4f85b01d9"/>
    <w:p>
      <w:pPr>
        <w:pStyle w:val="Heading2"/>
      </w:pPr>
      <w:r>
        <w:t xml:space="preserve">Conclusion: The Chemist Advantage in Japan Osaka</w:t>
      </w:r>
    </w:p>
    <w:p>
      <w:pPr>
        <w:pStyle w:val="FirstParagraph"/>
      </w:pPr>
      <w:r>
        <w:t xml:space="preserve">This Sales Report underscores how our Osaka-based Chemist operations have transformed regulatory constraints into competitive advantages. By embedding cultural intelligence into every service touchpoint – from Kampo medicine integration to Osaka-ben pharmacists – we've built a model where healthcare becomes seamlessly woven into the fabric of daily life in Japan's second-largest city. The 14.7% revenue growth isn't just a number; it reflects Osaka consumers' trust in our Chemist network as their healthcare partner, not merely a pharmacy.</w:t>
      </w:r>
    </w:p>
    <w:p>
      <w:pPr>
        <w:pStyle w:val="BodyText"/>
      </w:pPr>
      <w:r>
        <w:t xml:space="preserve">As Japan's pharmaceutical landscape evolves toward greater personalization, our Osaka Chemist stores are positioned to lead through: (1) hyper-localized product curation, (2) regulatory excellence under Japan's strictest standards, and (3) culturally resonant customer journeys. This Q3 performance validates that in the Japanese market, success belongs not just to the Chemist who sells products, but to the Chemist who understands Osaka.</w:t>
      </w:r>
    </w:p>
    <w:p>
      <w:pPr>
        <w:pStyle w:val="BodyText"/>
      </w:pPr>
      <w:r>
        <w:rPr>
          <w:bCs/>
          <w:b/>
        </w:rPr>
        <w:t xml:space="preserve">Prepared by:</w:t>
      </w:r>
      <w:r>
        <w:t xml:space="preserve"> </w:t>
      </w:r>
      <w:r>
        <w:t xml:space="preserve">Osaka Regional Sales Analytics Team</w:t>
      </w:r>
      <w:r>
        <w:br/>
      </w:r>
      <w:r>
        <w:rPr>
          <w:bCs/>
          <w:b/>
        </w:rPr>
        <w:t xml:space="preserve">Date:</w:t>
      </w:r>
      <w:r>
        <w:t xml:space="preserve"> </w:t>
      </w:r>
      <w:r>
        <w:t xml:space="preserve">October 15, 2023</w:t>
      </w:r>
      <w:r>
        <w:br/>
      </w:r>
      <w:r>
        <w:rPr>
          <w:bCs/>
          <w:b/>
        </w:rPr>
        <w:t xml:space="preserve">Confidential: For Internal Use Only - Japan Osaka Chemist Network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Osaka Chemist Pharmacy Network</dc:title>
  <dc:creator/>
  <dc:language>en</dc:language>
  <cp:keywords/>
  <dcterms:created xsi:type="dcterms:W3CDTF">2026-07-23T02:20:15Z</dcterms:created>
  <dcterms:modified xsi:type="dcterms:W3CDTF">2026-07-23T02:20:15Z</dcterms:modified>
</cp:coreProperties>
</file>

<file path=docProps/custom.xml><?xml version="1.0" encoding="utf-8"?>
<Properties xmlns="http://schemas.openxmlformats.org/officeDocument/2006/custom-properties" xmlns:vt="http://schemas.openxmlformats.org/officeDocument/2006/docPropsVTypes"/>
</file>