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Japan</w:t>
      </w:r>
      <w:r>
        <w:t xml:space="preserve"> </w:t>
      </w:r>
      <w:r>
        <w:t xml:space="preserve">Tokyo</w:t>
      </w:r>
    </w:p>
    <w:bookmarkStart w:id="30" w:name="X07a33df5706f6c5bcf4180d53966dedabde7790"/>
    <w:p>
      <w:pPr>
        <w:pStyle w:val="Heading1"/>
      </w:pPr>
      <w:r>
        <w:t xml:space="preserve">Comprehensive Sales Report: Chemist Operations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Chemical Distribution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Chemist division across Japan Tokyo during Q3 2023. Despite challenging global supply chain dynamics, our Tokyo operations achieved a remarkable 18% year-over-year growth in pharmaceutical and specialty chemical sales, outperforming regional market expectations by 5.7%. The success is directly attributable to our strategic adaptation to Japan's unique regulatory landscape and consumer healthcare trends. This document provides critical insights into how our Chemist team navigated Tokyo's competitive market, with particular emphasis on the precision required in Japanese pharmaceutical distribution standards.</w:t>
      </w:r>
    </w:p>
    <w:bookmarkEnd w:id="20"/>
    <w:bookmarkStart w:id="21" w:name="ii.-market-context-japan-tokyo-dynamics"/>
    <w:p>
      <w:pPr>
        <w:pStyle w:val="Heading2"/>
      </w:pPr>
      <w:r>
        <w:t xml:space="preserve">II. Market Context: Japan Tokyo Dynamics</w:t>
      </w:r>
    </w:p>
    <w:p>
      <w:pPr>
        <w:pStyle w:val="FirstParagraph"/>
      </w:pPr>
      <w:r>
        <w:t xml:space="preserve">Japan's pharmaceutical market represents a $108 billion industry, with Tokyo accounting for 34% of national demand. The Tokyo market is characterized by:</w:t>
      </w:r>
    </w:p>
    <w:p>
      <w:pPr>
        <w:numPr>
          <w:ilvl w:val="0"/>
          <w:numId w:val="1001"/>
        </w:numPr>
        <w:pStyle w:val="Compact"/>
      </w:pPr>
      <w:r>
        <w:rPr>
          <w:bCs/>
          <w:b/>
        </w:rPr>
        <w:t xml:space="preserve">Rigorous Regulatory Compliance:</w:t>
      </w:r>
      <w:r>
        <w:t xml:space="preserve"> </w:t>
      </w:r>
      <w:r>
        <w:t xml:space="preserve">Strict adherence to PMDA (Pharmaceuticals and Medical Devices Agency) standards necessitates meticulous documentation for all Chemist product lines.</w:t>
      </w:r>
    </w:p>
    <w:p>
      <w:pPr>
        <w:numPr>
          <w:ilvl w:val="0"/>
          <w:numId w:val="1001"/>
        </w:numPr>
        <w:pStyle w:val="Compact"/>
      </w:pPr>
      <w:r>
        <w:rPr>
          <w:bCs/>
          <w:b/>
        </w:rPr>
        <w:t xml:space="preserve">Consumer Sophistication:</w:t>
      </w:r>
      <w:r>
        <w:t xml:space="preserve"> </w:t>
      </w:r>
      <w:r>
        <w:t xml:space="preserve">Tokyo residents demonstrate high health literacy, demanding evidence-based specialty compounds over generic alternatives.</w:t>
      </w:r>
    </w:p>
    <w:p>
      <w:pPr>
        <w:numPr>
          <w:ilvl w:val="0"/>
          <w:numId w:val="1001"/>
        </w:numPr>
        <w:pStyle w:val="Compact"/>
      </w:pPr>
      <w:r>
        <w:rPr>
          <w:bCs/>
          <w:b/>
        </w:rPr>
        <w:t xml:space="preserve">Digital Integration:</w:t>
      </w:r>
      <w:r>
        <w:t xml:space="preserve"> </w:t>
      </w:r>
      <w:r>
        <w:t xml:space="preserve">78% of prescription refills occur through Japan's national digital health platform (MySugr), requiring seamless API integration for our Chemist distribution system.</w:t>
      </w:r>
    </w:p>
    <w:p>
      <w:pPr>
        <w:pStyle w:val="FirstParagraph"/>
      </w:pPr>
      <w:r>
        <w:t xml:space="preserve">Our Tokyo Sales Report confirms that market growth is heavily driven by aging demographics (29% population over 65) and rising demand for personalized pharmaceutical solutions – an area where our Chemist R&amp;D team has gained significant competitive advantage.</w:t>
      </w:r>
    </w:p>
    <w:bookmarkEnd w:id="21"/>
    <w:bookmarkStart w:id="22" w:name="iii.-q3-2023-sales-performance-breakdown"/>
    <w:p>
      <w:pPr>
        <w:pStyle w:val="Heading2"/>
      </w:pPr>
      <w:r>
        <w:t xml:space="preserve">III. Q3 2023 Sales Performance Breakdown</w:t>
      </w:r>
    </w:p>
    <w:p>
      <w:pPr>
        <w:pStyle w:val="FirstParagraph"/>
      </w:pPr>
      <w:r>
        <w:t xml:space="preserve">Product Category</w:t>
      </w:r>
    </w:p>
    <w:p>
      <w:pPr>
        <w:pStyle w:val="BodyText"/>
      </w:pPr>
      <w:r>
        <w:t xml:space="preserve">Q3 Revenue (JPY)</w:t>
      </w:r>
    </w:p>
    <w:p>
      <w:pPr>
        <w:pStyle w:val="BodyText"/>
      </w:pPr>
      <w:r>
        <w:t xml:space="preserve">% YoY Growth</w:t>
      </w:r>
    </w:p>
    <w:p>
      <w:pPr>
        <w:pStyle w:val="BodyText"/>
      </w:pPr>
      <w:r>
        <w:t xml:space="preserve">Market Share in Tokyo</w:t>
      </w:r>
    </w:p>
    <w:p>
      <w:pPr>
        <w:pStyle w:val="BodyText"/>
      </w:pPr>
      <w:r>
        <w:t xml:space="preserve">Precision Compounding Pharmaceuticals</w:t>
      </w:r>
    </w:p>
    <w:p>
      <w:pPr>
        <w:pStyle w:val="BodyText"/>
      </w:pPr>
      <w:r>
        <w:t xml:space="preserve">¥148,200,000</w:t>
      </w:r>
    </w:p>
    <w:p>
      <w:pPr>
        <w:pStyle w:val="BodyText"/>
      </w:pPr>
      <w:r>
        <w:t xml:space="preserve">24.7%</w:t>
      </w:r>
    </w:p>
    <w:p>
      <w:pPr>
        <w:pStyle w:val="BodyText"/>
      </w:pPr>
      <w:r>
        <w:t xml:space="preserve">18.3% (↑2.1 pts)</w:t>
      </w:r>
    </w:p>
    <w:p>
      <w:pPr>
        <w:pStyle w:val="BodyText"/>
      </w:pPr>
      <w:r>
        <w:t xml:space="preserve">OTC Healthcare Solutions</w:t>
      </w:r>
    </w:p>
    <w:p>
      <w:pPr>
        <w:pStyle w:val="BodyText"/>
      </w:pPr>
      <w:r>
        <w:t xml:space="preserve">¥89,650,000</w:t>
      </w:r>
    </w:p>
    <w:p>
      <w:pPr>
        <w:pStyle w:val="BodyText"/>
      </w:pPr>
      <w:r>
        <w:t xml:space="preserve">The standout performer was our Precision Compounding Pharmaceuticals line, where Tokyo's demand for customized treatments (e.g., pediatric dosages, allergy-specific formulations) drove exceptional results. This directly aligns with our Chemist division's core competency in specialized formulation development. Notably, 67% of these sales originated from partnerships with Tokyo-based specialty pharmacies – a strategic initiative launched in Q1 that yielded 3x ROI by Q3.</w:t>
      </w:r>
    </w:p>
    <w:bookmarkEnd w:id="22"/>
    <w:bookmarkStart w:id="26" w:name="X6f98b618f4dc5b37e2238dc87bfe37ef0514622"/>
    <w:p>
      <w:pPr>
        <w:pStyle w:val="Heading2"/>
      </w:pPr>
      <w:r>
        <w:t xml:space="preserve">IV. Key Success Factors: Why Tokyo Succeeded</w:t>
      </w:r>
    </w:p>
    <w:p>
      <w:pPr>
        <w:pStyle w:val="FirstParagraph"/>
      </w:pPr>
      <w:r>
        <w:t xml:space="preserve">Three pillars underpin our Chemist operations' success in Japan Tokyo:</w:t>
      </w:r>
    </w:p>
    <w:bookmarkStart w:id="23" w:name="a.-regulatory-navigation-expertise"/>
    <w:p>
      <w:pPr>
        <w:pStyle w:val="Heading3"/>
      </w:pPr>
      <w:r>
        <w:t xml:space="preserve">A. Regulatory Navigation Expertise</w:t>
      </w:r>
    </w:p>
    <w:p>
      <w:pPr>
        <w:pStyle w:val="FirstParagraph"/>
      </w:pPr>
      <w:r>
        <w:t xml:space="preserve">Our dedicated Japan Compliance Team (certified by MHLW) reduced product approval timelines from 14 weeks to 6 weeks – critical for introducing new compounds during Tokyo's seasonal allergy peak. This operational precision transformed our Sales Report from a reactive document to a proactive market driver.</w:t>
      </w:r>
    </w:p>
    <w:bookmarkEnd w:id="23"/>
    <w:bookmarkStart w:id="24" w:name="b.-hyper-local-market-intelligence"/>
    <w:p>
      <w:pPr>
        <w:pStyle w:val="Heading3"/>
      </w:pPr>
      <w:r>
        <w:t xml:space="preserve">B. Hyper-Local Market Intelligence</w:t>
      </w:r>
    </w:p>
    <w:p>
      <w:pPr>
        <w:pStyle w:val="FirstParagraph"/>
      </w:pPr>
      <w:r>
        <w:t xml:space="preserve">Unlike generic global strategies, our Chemist team implemented Tokyo-specific tactics:</w:t>
      </w:r>
    </w:p>
    <w:p>
      <w:pPr>
        <w:numPr>
          <w:ilvl w:val="0"/>
          <w:numId w:val="1002"/>
        </w:numPr>
        <w:pStyle w:val="Compact"/>
      </w:pPr>
      <w:r>
        <w:t xml:space="preserve">Partnering with 42 pharmacies in Ginza and Shibuya for "On-Demand Compounding" services (reducing customer wait times by 73%)</w:t>
      </w:r>
    </w:p>
    <w:p>
      <w:pPr>
        <w:numPr>
          <w:ilvl w:val="0"/>
          <w:numId w:val="1002"/>
        </w:numPr>
        <w:pStyle w:val="Compact"/>
      </w:pPr>
      <w:r>
        <w:t xml:space="preserve">Adapting packaging to meet Japanese aesthetic standards (e.g., minimalist, eco-materials)</w:t>
      </w:r>
    </w:p>
    <w:p>
      <w:pPr>
        <w:numPr>
          <w:ilvl w:val="0"/>
          <w:numId w:val="1002"/>
        </w:numPr>
        <w:pStyle w:val="Compact"/>
      </w:pPr>
      <w:r>
        <w:t xml:space="preserve">Training pharmacists on digital prescription management per Tokyo's 2023 healthcare digitization mandate</w:t>
      </w:r>
    </w:p>
    <w:bookmarkEnd w:id="24"/>
    <w:bookmarkStart w:id="25" w:name="c.-consumer-centric-innovation"/>
    <w:p>
      <w:pPr>
        <w:pStyle w:val="Heading3"/>
      </w:pPr>
      <w:r>
        <w:t xml:space="preserve">C. Consumer-Centric Innovation</w:t>
      </w:r>
    </w:p>
    <w:p>
      <w:pPr>
        <w:pStyle w:val="FirstParagraph"/>
      </w:pPr>
      <w:r>
        <w:t xml:space="preserve">Developing a line of "Tokyo-Adapted" skincare compounds using locally sourced botanicals (e.g., yuzu extract, shiso) generated ¥22M in revenue within two months. This exemplifies our Chemist division's ability to merge scientific rigor with cultural sensitivity – a requirement for sustained success in Japan Tokyo.</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the Sales Report identifies critical challenges requiring immediate action:</w:t>
      </w:r>
    </w:p>
    <w:p>
      <w:pPr>
        <w:pStyle w:val="BodyText"/>
      </w:pPr>
      <w:r>
        <w:t xml:space="preserve">Challenge</w:t>
      </w:r>
    </w:p>
    <w:p>
      <w:pPr>
        <w:pStyle w:val="BodyText"/>
      </w:pPr>
      <w:r>
        <w:t xml:space="preserve">Impact on Tokyo Operations</w:t>
      </w:r>
    </w:p>
    <w:p>
      <w:pPr>
        <w:pStyle w:val="BodyText"/>
      </w:pPr>
      <w:r>
        <w:t xml:space="preserve">Mitigation Action</w:t>
      </w:r>
    </w:p>
    <w:p>
      <w:pPr>
        <w:pStyle w:val="BodyText"/>
      </w:pPr>
      <w:r>
        <w:t xml:space="preserve">Raw Material Supply Disruptions (Asian Manufacturing)</w:t>
      </w:r>
    </w:p>
    <w:p>
      <w:pPr>
        <w:pStyle w:val="BodyText"/>
      </w:pPr>
      <w:r>
        <w:t xml:space="preserve">3.2% revenue delay risk</w:t>
      </w:r>
    </w:p>
    <w:p>
      <w:pPr>
        <w:pStyle w:val="BodyText"/>
      </w:pPr>
      <w:r>
        <w:t xml:space="preserve">Established backup supplier in Osaka (reducing lead time by 40%)</w:t>
      </w:r>
    </w:p>
    <w:p>
      <w:pPr>
        <w:pStyle w:val="BodyText"/>
      </w:pPr>
      <w:r>
        <w:t xml:space="preserve">Digital Platform Integration Delays</w:t>
      </w:r>
    </w:p>
    <w:p>
      <w:pPr>
        <w:pStyle w:val="BodyText"/>
      </w:pPr>
      <w:r>
        <w:t xml:space="preserve">21% slower prescription processing</w:t>
      </w:r>
    </w:p>
    <w:p>
      <w:pPr>
        <w:pStyle w:val="BodyText"/>
      </w:pPr>
      <w:r>
        <w:t xml:space="preserve">Our Chemist team resolved the digital platform issue by co-developing a custom module with Tokyo's health ministry, ensuring seamless compatibility with all major pharmacy systems – a move now being replicated across Japan.</w:t>
      </w:r>
    </w:p>
    <w:bookmarkEnd w:id="27"/>
    <w:bookmarkStart w:id="28" w:name="Xcc9522855b3af76e8ad62f5220bf6449b0343cc"/>
    <w:p>
      <w:pPr>
        <w:pStyle w:val="Heading2"/>
      </w:pPr>
      <w:r>
        <w:t xml:space="preserve">VI. Strategic Roadmap for Japan Tokyo (Q4 2023 - Q1 2024)</w:t>
      </w:r>
    </w:p>
    <w:p>
      <w:pPr>
        <w:pStyle w:val="FirstParagraph"/>
      </w:pPr>
      <w:r>
        <w:t xml:space="preserve">Based on this Sales Report data, our Chemist division will execute three priority initiatives in Tokyo:</w:t>
      </w:r>
    </w:p>
    <w:p>
      <w:pPr>
        <w:numPr>
          <w:ilvl w:val="0"/>
          <w:numId w:val="1003"/>
        </w:numPr>
        <w:pStyle w:val="Compact"/>
      </w:pPr>
      <w:r>
        <w:rPr>
          <w:bCs/>
          <w:b/>
        </w:rPr>
        <w:t xml:space="preserve">National Hospital Network Expansion:</w:t>
      </w:r>
      <w:r>
        <w:t xml:space="preserve"> </w:t>
      </w:r>
      <w:r>
        <w:t xml:space="preserve">Targeting 5 new Tokyo medical centers to supply compounded oncology medications by December 2023 (projected ¥85M revenue).</w:t>
      </w:r>
    </w:p>
    <w:p>
      <w:pPr>
        <w:numPr>
          <w:ilvl w:val="0"/>
          <w:numId w:val="1003"/>
        </w:numPr>
        <w:pStyle w:val="Compact"/>
      </w:pPr>
      <w:r>
        <w:rPr>
          <w:bCs/>
          <w:b/>
        </w:rPr>
        <w:t xml:space="preserve">AI-Powered Demand Forecasting:</w:t>
      </w:r>
      <w:r>
        <w:t xml:space="preserve"> </w:t>
      </w:r>
      <w:r>
        <w:t xml:space="preserve">Implementing machine learning models trained on Tokyo's seasonal health patterns (e.g., pollen season, flu outbreaks) – expected to reduce inventory costs by 19%.</w:t>
      </w:r>
    </w:p>
    <w:p>
      <w:pPr>
        <w:numPr>
          <w:ilvl w:val="0"/>
          <w:numId w:val="1003"/>
        </w:numPr>
        <w:pStyle w:val="Compact"/>
      </w:pPr>
      <w:r>
        <w:rPr>
          <w:bCs/>
          <w:b/>
        </w:rPr>
        <w:t xml:space="preserve">Sustainability Certification Drive:</w:t>
      </w:r>
      <w:r>
        <w:t xml:space="preserve"> </w:t>
      </w:r>
      <w:r>
        <w:t xml:space="preserve">Achieving Japan's "Green Pharmacy" certification across all Tokyo operations by Q2 2024, aligning with Prime Minister Kishida's environmental policies.</w:t>
      </w:r>
    </w:p>
    <w:bookmarkEnd w:id="28"/>
    <w:bookmarkStart w:id="29" w:name="X19fb33d65b7a167c06ae02c1657575c077124ec"/>
    <w:p>
      <w:pPr>
        <w:pStyle w:val="Heading2"/>
      </w:pPr>
      <w:r>
        <w:t xml:space="preserve">VII. Conclusion: The Chemist Advantage in Japan Tokyo</w:t>
      </w:r>
    </w:p>
    <w:p>
      <w:pPr>
        <w:pStyle w:val="FirstParagraph"/>
      </w:pPr>
      <w:r>
        <w:t xml:space="preserve">This Sales Report unequivocally demonstrates that our Chemist division has mastered the complexities of Japan Tokyo's market through scientific precision, regulatory excellence, and cultural intelligence. The 18% YoY growth isn't merely a financial metric – it represents our ability to transform local healthcare challenges into strategic opportunities. As Tokyo continues to lead global pharmaceutical innovation in Asia, we remain committed to positioning our Chemist operations as the trusted partner for Japan's most discerning healthcare providers.</w:t>
      </w:r>
    </w:p>
    <w:p>
      <w:pPr>
        <w:pStyle w:val="BodyText"/>
      </w:pPr>
      <w:r>
        <w:t xml:space="preserve">With Q4 poised for further growth through seasonal health initiatives (including influenza preparedness), we project full-year 2023 revenue of ¥487M from Tokyo operations – a 15.3% increase over 2022. This positions us to capture additional market share in Japan's premium pharmaceutical segment, where our Chemist brand now ranks #3 by specialty prescription volume.</w:t>
      </w:r>
    </w:p>
    <w:p>
      <w:pPr>
        <w:pStyle w:val="BodyText"/>
      </w:pPr>
      <w:r>
        <w:rPr>
          <w:bCs/>
          <w:b/>
        </w:rPr>
        <w:t xml:space="preserve">Prepared By:</w:t>
      </w:r>
      <w:r>
        <w:t xml:space="preserve"> </w:t>
      </w:r>
      <w:r>
        <w:t xml:space="preserve">Global Sales Analytics Division</w:t>
      </w:r>
      <w:r>
        <w:br/>
      </w:r>
      <w:r>
        <w:rPr>
          <w:bCs/>
          <w:b/>
        </w:rPr>
        <w:t xml:space="preserve">Verification:</w:t>
      </w:r>
      <w:r>
        <w:t xml:space="preserve"> </w:t>
      </w:r>
      <w:r>
        <w:t xml:space="preserve">MHLW Compliance Office, Tokyo (Certificate No. JP-2023-CHEMIST-TOK)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Japan Tokyo</dc:title>
  <dc:creator/>
  <dc:language>en</dc:language>
  <cp:keywords/>
  <dcterms:created xsi:type="dcterms:W3CDTF">2026-07-23T05:29:25Z</dcterms:created>
  <dcterms:modified xsi:type="dcterms:W3CDTF">2026-07-23T05:29:25Z</dcterms:modified>
</cp:coreProperties>
</file>

<file path=docProps/custom.xml><?xml version="1.0" encoding="utf-8"?>
<Properties xmlns="http://schemas.openxmlformats.org/officeDocument/2006/custom-properties" xmlns:vt="http://schemas.openxmlformats.org/officeDocument/2006/docPropsVTypes"/>
</file>