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Pharmacy</w:t>
      </w:r>
      <w:r>
        <w:t xml:space="preserve"> </w:t>
      </w:r>
      <w:r>
        <w:t xml:space="preserve">in</w:t>
      </w:r>
      <w:r>
        <w:t xml:space="preserve"> </w:t>
      </w:r>
      <w:r>
        <w:t xml:space="preserve">Kazakhstan</w:t>
      </w:r>
      <w:r>
        <w:t xml:space="preserve"> </w:t>
      </w:r>
      <w:r>
        <w:t xml:space="preserve">Almaty</w:t>
      </w:r>
    </w:p>
    <w:bookmarkStart w:id="26" w:name="Xfc06958d0308fe39fccd0b2db30334ee9cd85ec"/>
    <w:p>
      <w:pPr>
        <w:pStyle w:val="Heading1"/>
      </w:pPr>
      <w:r>
        <w:t xml:space="preserve">Q3 2023 Sales Report for Chemist Pharmacy Network in Kazakhstan Almaty</w:t>
      </w:r>
    </w:p>
    <w:p>
      <w:pPr>
        <w:pStyle w:val="FirstParagraph"/>
      </w:pPr>
      <w:r>
        <w:t xml:space="preserve">This comprehensive Sales Report details the operational performance of our Chemist pharmacy chain across Almaty, Kazakhstan. Covering the period from July 1 to September 30, 2023, this document provides critical insights into sales trends, market dynamics, and strategic opportunities within the rapidly evolving pharmaceutical landscape of Kazakhstan Almaty. As one of Central Asia's most dynamic urban centers with over 2 million residents, Almaty represents a vital market for our Chemist operations.</w:t>
      </w:r>
    </w:p>
    <w:bookmarkStart w:id="20" w:name="executive-summary"/>
    <w:p>
      <w:pPr>
        <w:pStyle w:val="Heading2"/>
      </w:pPr>
      <w:r>
        <w:t xml:space="preserve">Executive Summary</w:t>
      </w:r>
    </w:p>
    <w:p>
      <w:pPr>
        <w:pStyle w:val="FirstParagraph"/>
      </w:pPr>
      <w:r>
        <w:t xml:space="preserve">The Q3 2023 period demonstrated strong growth across all key metrics for Chemist pharmacies in Kazakhstan Almaty. Total sales reached ₸185.7 million (approximately $41,600 USD), marking a 17.3% year-over-year increase and surpassing our quarterly target by 9%. This performance reflects not only the resilience of the pharmaceutical sector but also our strategic adaptation to Almaty's unique healthcare demands. The growth was particularly pronounced in chronic disease management products and over-the-counter wellness items, aligning with Kazakhstan's national health initiatives targeting cardiovascular and diabetes prevention.</w:t>
      </w:r>
    </w:p>
    <w:bookmarkEnd w:id="20"/>
    <w:bookmarkStart w:id="21" w:name="key-sales-metrics-analysis"/>
    <w:p>
      <w:pPr>
        <w:pStyle w:val="Heading2"/>
      </w:pPr>
      <w:r>
        <w:t xml:space="preserve">Key Sales Metrics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Variation (%)</w:t>
            </w:r>
          </w:p>
        </w:tc>
      </w:tr>
      <w:tr>
        <w:tc>
          <w:tcPr/>
          <w:p>
            <w:pPr>
              <w:pStyle w:val="Compact"/>
              <w:jc w:val="left"/>
            </w:pPr>
            <w:r>
              <w:t xml:space="preserve">Total Revenue (₸)</w:t>
            </w:r>
          </w:p>
        </w:tc>
        <w:tc>
          <w:tcPr/>
          <w:p>
            <w:pPr>
              <w:pStyle w:val="Compact"/>
              <w:jc w:val="left"/>
            </w:pPr>
            <w:r>
              <w:t xml:space="preserve">185,740,000</w:t>
            </w:r>
          </w:p>
        </w:tc>
        <w:tc>
          <w:tcPr/>
          <w:p>
            <w:pPr>
              <w:pStyle w:val="Compact"/>
              <w:jc w:val="left"/>
            </w:pPr>
            <w:r>
              <w:t xml:space="preserve">158,370,000</w:t>
            </w:r>
          </w:p>
        </w:tc>
        <w:tc>
          <w:tcPr/>
          <w:p>
            <w:pPr>
              <w:pStyle w:val="Compact"/>
              <w:jc w:val="left"/>
            </w:pPr>
            <w:r>
              <w:t xml:space="preserve">+17.3%</w:t>
            </w:r>
          </w:p>
        </w:tc>
      </w:tr>
      <w:tr>
        <w:tc>
          <w:tcPr/>
          <w:p>
            <w:pPr>
              <w:pStyle w:val="Compact"/>
              <w:jc w:val="left"/>
            </w:pPr>
            <w:r>
              <w:t xml:space="preserve">Pharmaceutical Sales</w:t>
            </w:r>
          </w:p>
        </w:tc>
        <w:tc>
          <w:tcPr/>
          <w:p>
            <w:pPr>
              <w:pStyle w:val="Compact"/>
              <w:jc w:val="left"/>
            </w:pPr>
            <w:r>
              <w:t xml:space="preserve">92,652,546</w:t>
            </w:r>
          </w:p>
        </w:tc>
        <w:tc>
          <w:tcPr/>
          <w:p>
            <w:pPr>
              <w:pStyle w:val="Compact"/>
              <w:jc w:val="left"/>
            </w:pPr>
            <w:r>
              <w:t xml:space="preserve">83,124,981</w:t>
            </w:r>
          </w:p>
        </w:tc>
        <w:tc>
          <w:tcPr/>
          <w:p>
            <w:pPr>
              <w:pStyle w:val="Compact"/>
              <w:jc w:val="left"/>
            </w:pPr>
            <w:r>
              <w:t xml:space="preserve">+11.5%</w:t>
            </w:r>
          </w:p>
        </w:tc>
      </w:tr>
      <w:tr>
        <w:tc>
          <w:tcPr/>
          <w:p>
            <w:pPr>
              <w:pStyle w:val="Compact"/>
              <w:jc w:val="left"/>
            </w:pPr>
            <w:r>
              <w:t xml:space="preserve">Oxygen &amp; Health Products</w:t>
            </w:r>
          </w:p>
        </w:tc>
        <w:tc>
          <w:tcPr/>
          <w:p>
            <w:pPr>
              <w:pStyle w:val="Compact"/>
              <w:jc w:val="left"/>
            </w:pPr>
            <w:r>
              <w:t xml:space="preserve">34,700,000</w:t>
            </w:r>
          </w:p>
        </w:tc>
        <w:tc>
          <w:tcPr/>
          <w:p>
            <w:pPr>
              <w:pStyle w:val="Compact"/>
              <w:jc w:val="left"/>
            </w:pPr>
            <w:r>
              <w:t xml:space="preserve">26,543,872</w:t>
            </w:r>
          </w:p>
        </w:tc>
        <w:tc>
          <w:tcPr/>
          <w:p>
            <w:pPr>
              <w:pStyle w:val="Compact"/>
              <w:jc w:val="left"/>
            </w:pPr>
            <w:r>
              <w:t xml:space="preserve">+30.7%</w:t>
            </w:r>
          </w:p>
        </w:tc>
      </w:tr>
      <w:tr>
        <w:tc>
          <w:tcPr/>
          <w:p>
            <w:pPr>
              <w:pStyle w:val="Compact"/>
              <w:jc w:val="left"/>
            </w:pPr>
            <w:r>
              <w:t xml:space="preserve">Wellness &amp; Personal Care</w:t>
            </w:r>
          </w:p>
        </w:tc>
        <w:tc>
          <w:tcPr/>
          <w:p>
            <w:pPr>
              <w:pStyle w:val="Compact"/>
              <w:jc w:val="left"/>
            </w:pPr>
            <w:r>
              <w:t xml:space="preserve">41,185,692</w:t>
            </w:r>
          </w:p>
        </w:tc>
        <w:tc>
          <w:tcPr/>
          <w:p>
            <w:pPr>
              <w:pStyle w:val="Compact"/>
              <w:jc w:val="left"/>
            </w:pPr>
            <w:r>
              <w:t xml:space="preserve">36,900,023</w:t>
            </w:r>
          </w:p>
        </w:tc>
        <w:tc>
          <w:tcPr/>
          <w:p>
            <w:pPr>
              <w:pStyle w:val="Compact"/>
              <w:jc w:val="left"/>
            </w:pPr>
            <w:r>
              <w:t xml:space="preserve">+11.6%</w:t>
            </w:r>
          </w:p>
        </w:tc>
      </w:tr>
      <w:tr>
        <w:tc>
          <w:tcPr/>
          <w:p>
            <w:pPr>
              <w:pStyle w:val="Compact"/>
              <w:jc w:val="left"/>
            </w:pPr>
            <w:r>
              <w:t xml:space="preserve">Average Transaction Value (₸)</w:t>
            </w:r>
          </w:p>
        </w:tc>
        <w:tc>
          <w:tcPr/>
          <w:p>
            <w:pPr>
              <w:pStyle w:val="Compact"/>
              <w:jc w:val="left"/>
            </w:pPr>
            <w:r>
              <w:t xml:space="preserve">4,275</w:t>
            </w:r>
          </w:p>
        </w:tc>
        <w:tc>
          <w:tcPr/>
          <w:p>
            <w:pPr>
              <w:pStyle w:val="Compact"/>
              <w:jc w:val="left"/>
            </w:pPr>
            <w:r>
              <w:t xml:space="preserve">3,845</w:t>
            </w:r>
          </w:p>
        </w:tc>
        <w:tc>
          <w:tcPr/>
          <w:p>
            <w:pPr>
              <w:pStyle w:val="Compact"/>
              <w:jc w:val="left"/>
            </w:pPr>
            <w:r>
              <w:t xml:space="preserve">+11.2%</w:t>
            </w:r>
          </w:p>
        </w:tc>
      </w:tr>
    </w:tbl>
    <w:p>
      <w:pPr>
        <w:pStyle w:val="BodyText"/>
      </w:pPr>
      <w:r>
        <w:t xml:space="preserve">The most significant growth driver was the Oxygen &amp; Health Products category, with a 30.7% increase attributed to heightened respiratory health awareness following Kazakhstan's national flu vaccination campaign in Q2. The Wellness &amp; Personal Care segment also showed robust performance (11.6% growth), particularly for organic skincare products and vitamin supplements targeting Almaty's growing health-conscious demographic.</w:t>
      </w:r>
    </w:p>
    <w:bookmarkEnd w:id="21"/>
    <w:bookmarkStart w:id="22" w:name="Xb02b65fd51b2bc62c87c3a03642f14e4ed37168"/>
    <w:p>
      <w:pPr>
        <w:pStyle w:val="Heading2"/>
      </w:pPr>
      <w:r>
        <w:t xml:space="preserve">Regional Market Analysis: Kazakhstan Almaty Context</w:t>
      </w:r>
    </w:p>
    <w:p>
      <w:pPr>
        <w:pStyle w:val="FirstParagraph"/>
      </w:pPr>
      <w:r>
        <w:t xml:space="preserve">Almaty's pharmaceutical market has experienced structural shifts since Kazakhstan implemented its 2023 Healthcare Modernization Program. Our Chemist pharmacies have strategically positioned themselves to serve this evolving landscape by expanding clinical services and digital health integrations. Key regional insights include:</w:t>
      </w:r>
    </w:p>
    <w:p>
      <w:pPr>
        <w:numPr>
          <w:ilvl w:val="0"/>
          <w:numId w:val="1001"/>
        </w:numPr>
        <w:pStyle w:val="Compact"/>
      </w:pPr>
      <w:r>
        <w:rPr>
          <w:bCs/>
          <w:b/>
        </w:rPr>
        <w:t xml:space="preserve">Demand Shifts:</w:t>
      </w:r>
      <w:r>
        <w:t xml:space="preserve"> </w:t>
      </w:r>
      <w:r>
        <w:t xml:space="preserve">Rising demand for chronic disease management products (e.g., hypertension, diabetes) has increased by 24% in Almaty versus national averages, driven by urban lifestyle factors and Kazakhstan's National Diabetes Prevention Strategy.</w:t>
      </w:r>
    </w:p>
    <w:p>
      <w:pPr>
        <w:numPr>
          <w:ilvl w:val="0"/>
          <w:numId w:val="1001"/>
        </w:numPr>
        <w:pStyle w:val="Compact"/>
      </w:pPr>
      <w:r>
        <w:rPr>
          <w:bCs/>
          <w:b/>
        </w:rPr>
        <w:t xml:space="preserve">Competitive Landscape:</w:t>
      </w:r>
      <w:r>
        <w:t xml:space="preserve"> </w:t>
      </w:r>
      <w:r>
        <w:t xml:space="preserve">Local chemist chains have consolidated operations, but our network of 18 pharmacies across Almaty (including flagship locations in Central Park and Medeu districts) maintains a 27% market share – the highest in the city's premium pharmacy segment.</w:t>
      </w:r>
    </w:p>
    <w:p>
      <w:pPr>
        <w:numPr>
          <w:ilvl w:val="0"/>
          <w:numId w:val="1001"/>
        </w:numPr>
        <w:pStyle w:val="Compact"/>
      </w:pPr>
      <w:r>
        <w:rPr>
          <w:bCs/>
          <w:b/>
        </w:rPr>
        <w:t xml:space="preserve">Digital Integration:</w:t>
      </w:r>
      <w:r>
        <w:t xml:space="preserve"> </w:t>
      </w:r>
      <w:r>
        <w:t xml:space="preserve">The launch of our mobile app for prescription refills and home delivery (covering all major neighborhoods of Kazakhstan Almaty) contributed to 38% of Q3 sales, a 22-point increase from last year.</w:t>
      </w:r>
    </w:p>
    <w:bookmarkEnd w:id="22"/>
    <w:bookmarkStart w:id="23" w:name="challenges-in-kazakhstani-market"/>
    <w:p>
      <w:pPr>
        <w:pStyle w:val="Heading2"/>
      </w:pPr>
      <w:r>
        <w:t xml:space="preserve">Challenges in Kazakhstani Market</w:t>
      </w:r>
    </w:p>
    <w:p>
      <w:pPr>
        <w:pStyle w:val="FirstParagraph"/>
      </w:pPr>
      <w:r>
        <w:t xml:space="preserve">Despite strong growth, several market-specific challenges impacted operations:</w:t>
      </w:r>
    </w:p>
    <w:p>
      <w:pPr>
        <w:numPr>
          <w:ilvl w:val="0"/>
          <w:numId w:val="1002"/>
        </w:numPr>
        <w:pStyle w:val="Compact"/>
      </w:pPr>
      <w:r>
        <w:rPr>
          <w:bCs/>
          <w:b/>
        </w:rPr>
        <w:t xml:space="preserve">Supply Chain Volatility:</w:t>
      </w:r>
      <w:r>
        <w:t xml:space="preserve"> </w:t>
      </w:r>
      <w:r>
        <w:t xml:space="preserve">Customs delays at Almaty International Airport (especially for EU-sourced generics) caused 12% stockouts in high-demand categories during July-August. We've since established a regional distribution hub in Shymkent to mitigate this.</w:t>
      </w:r>
    </w:p>
    <w:p>
      <w:pPr>
        <w:numPr>
          <w:ilvl w:val="0"/>
          <w:numId w:val="1002"/>
        </w:numPr>
        <w:pStyle w:val="Compact"/>
      </w:pPr>
      <w:r>
        <w:rPr>
          <w:bCs/>
          <w:b/>
        </w:rPr>
        <w:t xml:space="preserve">Currency Fluctuations:</w:t>
      </w:r>
      <w:r>
        <w:t xml:space="preserve"> </w:t>
      </w:r>
      <w:r>
        <w:t xml:space="preserve">The KZT's volatility against USD (60% depreciation year-to-date) increased import costs by 18%, requiring strategic pricing adjustments without compromising affordability for Almaty residents.</w:t>
      </w:r>
    </w:p>
    <w:p>
      <w:pPr>
        <w:numPr>
          <w:ilvl w:val="0"/>
          <w:numId w:val="1002"/>
        </w:numPr>
        <w:pStyle w:val="Compact"/>
      </w:pPr>
      <w:r>
        <w:rPr>
          <w:bCs/>
          <w:b/>
        </w:rPr>
        <w:t xml:space="preserve">Regulatory Changes:</w:t>
      </w:r>
      <w:r>
        <w:t xml:space="preserve"> </w:t>
      </w:r>
      <w:r>
        <w:t xml:space="preserve">New Kazakhstan pharmaceutical regulations (effective Q3 2023) required retraining of all pharmacy staff, temporarily reducing operational efficiency by 7% in August.</w:t>
      </w:r>
    </w:p>
    <w:bookmarkEnd w:id="23"/>
    <w:bookmarkStart w:id="24" w:name="Xed1670d3d5ade015dc729b120946f1f3b8bd247"/>
    <w:p>
      <w:pPr>
        <w:pStyle w:val="Heading2"/>
      </w:pPr>
      <w:r>
        <w:t xml:space="preserve">Strategic Recommendations for Chemist Growth in Almaty</w:t>
      </w:r>
    </w:p>
    <w:p>
      <w:pPr>
        <w:pStyle w:val="FirstParagraph"/>
      </w:pPr>
      <w:r>
        <w:t xml:space="preserve">Based on this Sales Report analysis, we propose the following targeted actions to strengthen our market position across Kazakhstan Almaty:</w:t>
      </w:r>
    </w:p>
    <w:p>
      <w:pPr>
        <w:numPr>
          <w:ilvl w:val="0"/>
          <w:numId w:val="1003"/>
        </w:numPr>
        <w:pStyle w:val="Compact"/>
      </w:pPr>
      <w:r>
        <w:rPr>
          <w:bCs/>
          <w:b/>
        </w:rPr>
        <w:t xml:space="preserve">Expand Preventive Care Services:</w:t>
      </w:r>
      <w:r>
        <w:t xml:space="preserve"> </w:t>
      </w:r>
      <w:r>
        <w:t xml:space="preserve">Partner with Almaty's Public Health Department to offer free cholesterol/blood sugar screenings at 5 high-traffic Chemist locations, capitalizing on rising preventive healthcare demand.</w:t>
      </w:r>
    </w:p>
    <w:p>
      <w:pPr>
        <w:numPr>
          <w:ilvl w:val="0"/>
          <w:numId w:val="1003"/>
        </w:numPr>
        <w:pStyle w:val="Compact"/>
      </w:pPr>
      <w:r>
        <w:rPr>
          <w:bCs/>
          <w:b/>
        </w:rPr>
        <w:t xml:space="preserve">Localize Product Assortment:</w:t>
      </w:r>
      <w:r>
        <w:t xml:space="preserve"> </w:t>
      </w:r>
      <w:r>
        <w:t xml:space="preserve">Introduce more Kazakhstan-sourced herbal remedies (e.g., "Chernyi Chay" brand) and traditional medicine products to align with cultural preferences and reduce import dependency.</w:t>
      </w:r>
    </w:p>
    <w:p>
      <w:pPr>
        <w:numPr>
          <w:ilvl w:val="0"/>
          <w:numId w:val="1003"/>
        </w:numPr>
        <w:pStyle w:val="Compact"/>
      </w:pPr>
      <w:r>
        <w:rPr>
          <w:bCs/>
          <w:b/>
        </w:rPr>
        <w:t xml:space="preserve">Enhance Digital Engagement:</w:t>
      </w:r>
      <w:r>
        <w:t xml:space="preserve"> </w:t>
      </w:r>
      <w:r>
        <w:t xml:space="preserve">Launch a targeted social media campaign using Kazakh language content focusing on women's health – a category showing 23% YoY growth in Almaty.</w:t>
      </w:r>
    </w:p>
    <w:p>
      <w:pPr>
        <w:numPr>
          <w:ilvl w:val="0"/>
          <w:numId w:val="1003"/>
        </w:numPr>
        <w:pStyle w:val="Compact"/>
      </w:pPr>
      <w:r>
        <w:rPr>
          <w:bCs/>
          <w:b/>
        </w:rPr>
        <w:t xml:space="preserve">Community Investment:</w:t>
      </w:r>
      <w:r>
        <w:t xml:space="preserve"> </w:t>
      </w:r>
      <w:r>
        <w:t xml:space="preserve">Sponsor Almaty Marathon health clinics at all Chemist pharmacies, building brand loyalty among the city's active population segment.</w:t>
      </w:r>
    </w:p>
    <w:bookmarkEnd w:id="24"/>
    <w:bookmarkStart w:id="25" w:name="conclusion"/>
    <w:p>
      <w:pPr>
        <w:pStyle w:val="Heading2"/>
      </w:pPr>
      <w:r>
        <w:t xml:space="preserve">Conclusion</w:t>
      </w:r>
    </w:p>
    <w:p>
      <w:pPr>
        <w:pStyle w:val="FirstParagraph"/>
      </w:pPr>
      <w:r>
        <w:t xml:space="preserve">The Q3 2023 Sales Report confirms Chemist's strong market leadership within Kazakhstan Almaty's pharmaceutical sector. Our growth trajectory (17.3% YoY) significantly outperforms the regional average of 8.4%, demonstrating effective adaptation to both macroeconomic conditions and localized consumer behavior in this critical Central Asian market. As we move into Q4, our focus will remain on deepening community health engagement while optimizing operations for Kazakhstan's evolving regulatory environment.</w:t>
      </w:r>
    </w:p>
    <w:p>
      <w:pPr>
        <w:pStyle w:val="BodyText"/>
      </w:pPr>
      <w:r>
        <w:t xml:space="preserve">Crucially, the success of Chemist pharmacies across Almaty proves that pharmaceutical retail can thrive by prioritizing patient-centric services over transactional sales. By continuing to invest in localized solutions – from culturally relevant wellness products to digital accessibility for elderly Almaty residents – we will sustain our leadership position while contributing meaningfully to Kazakhstan's public health goals. This Sales Report underscores that strategic alignment with Kazakhstan's healthcare priorities, executed through our Chemist network in Almaty, delivers both commercial excellence and social value.</w:t>
      </w:r>
    </w:p>
    <w:p>
      <w:pPr>
        <w:pStyle w:val="BodyText"/>
      </w:pPr>
      <w:r>
        <w:t xml:space="preserve">Prepared for: Chemist Pharmacy Group Management</w:t>
      </w:r>
      <w:r>
        <w:br/>
      </w:r>
      <w:r>
        <w:t xml:space="preserve">Date: October 15, 2023</w:t>
      </w:r>
      <w:r>
        <w:br/>
      </w:r>
      <w:r>
        <w:t xml:space="preserve">Report Period: July 1 - September 30, 2023</w:t>
      </w:r>
      <w:r>
        <w:br/>
      </w:r>
      <w:r>
        <w:t xml:space="preserve">Prepared by: Almaty Regional Sales Analytics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Pharmacy in Kazakhstan Almaty</dc:title>
  <dc:creator/>
  <dc:language>en</dc:language>
  <cp:keywords/>
  <dcterms:created xsi:type="dcterms:W3CDTF">2026-07-24T01:12:44Z</dcterms:created>
  <dcterms:modified xsi:type="dcterms:W3CDTF">2026-07-24T01:12:44Z</dcterms:modified>
</cp:coreProperties>
</file>

<file path=docProps/custom.xml><?xml version="1.0" encoding="utf-8"?>
<Properties xmlns="http://schemas.openxmlformats.org/officeDocument/2006/custom-properties" xmlns:vt="http://schemas.openxmlformats.org/officeDocument/2006/docPropsVTypes"/>
</file>