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Chemist</w:t>
      </w:r>
      <w:r>
        <w:t xml:space="preserve"> </w:t>
      </w:r>
      <w:r>
        <w:t xml:space="preserve">in</w:t>
      </w:r>
      <w:r>
        <w:t xml:space="preserve"> </w:t>
      </w:r>
      <w:r>
        <w:t xml:space="preserve">Kuwait</w:t>
      </w:r>
      <w:r>
        <w:t xml:space="preserve"> </w:t>
      </w:r>
      <w:r>
        <w:t xml:space="preserve">City</w:t>
      </w:r>
    </w:p>
    <w:bookmarkStart w:id="27" w:name="Xf4b0a19dd45067d9487d3574959f3b76c688e33"/>
    <w:p>
      <w:pPr>
        <w:pStyle w:val="Heading1"/>
      </w:pPr>
      <w:r>
        <w:t xml:space="preserve">Quarterly Sales Performance Report: Premium Chemist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Kuwait City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Chemist location in Kuwait City, strategically positioned in the heart of Al-Shuwaikh. As one of Kuwait's most trusted pharmacy chains with over 15 years of service to Kuwait City residents, our July-September quarter demonstrated resilient growth despite regional economic fluctuations. Total sales reached KWD 285,400 (approximately USD 938,000), representing a 12.7% year-over-year increase. This success underscores the Chemist's critical role in Kuwait City's healthcare ecosystem and our commitment to serving the community through premium pharmaceutical services. The report highlights key growth drivers and strategic opportunities within Kuwait Kuwait City's unique market dynamics.</w:t>
      </w:r>
    </w:p>
    <w:bookmarkEnd w:id="20"/>
    <w:bookmarkStart w:id="21" w:name="ii.-sales-performance-overview"/>
    <w:p>
      <w:pPr>
        <w:pStyle w:val="Heading2"/>
      </w:pPr>
      <w:r>
        <w:t xml:space="preserve">II. Sales Performance Overview</w:t>
      </w:r>
    </w:p>
    <w:p>
      <w:pPr>
        <w:pStyle w:val="FirstParagraph"/>
      </w:pPr>
      <w:r>
        <w:t xml:space="preserve">Our Chemist in Kuwait City maintained strong momentum throughout Q3, with consistent monthly growth (July: KWD 91,000; August: KWD 95,800; September: KWD 98,600). This outperforms the national pharmacy average of 7.2% growth for the same period. The success stems from our hyper-localized approach catering to Kuwait City's diverse demographics – from expatriate communities in Salmiya to local families in Al-Salmiya. Notably, our OTC medication sales surged by 18% due to increased seasonal health concerns, while prescription fulfillment reached an all-time high of 14,200 scripts processed during the quarter.</w:t>
      </w:r>
    </w:p>
    <w:p>
      <w:pPr>
        <w:pStyle w:val="BodyText"/>
      </w:pPr>
      <w:r>
        <w:t xml:space="preserve">Customer retention metrics improved significantly (now at 78% vs. 72% last year), directly attributed to our tailored loyalty program launched in Kuwait City last November. The Chemist's strategic location near major hospitals including Al-Amiri Hospital and Al-Jahra Hospital has been instrumental in driving walk-in traffic, making this Kuwait City location a critical healthcare hub.</w:t>
      </w:r>
    </w:p>
    <w:bookmarkEnd w:id="21"/>
    <w:bookmarkStart w:id="22" w:name="iii.-product-category-analysis"/>
    <w:p>
      <w:pPr>
        <w:pStyle w:val="Heading2"/>
      </w:pPr>
      <w:r>
        <w:t xml:space="preserve">III. Product Category Analysis</w:t>
      </w:r>
    </w:p>
    <w:p>
      <w:pPr>
        <w:pStyle w:val="FirstParagraph"/>
      </w:pPr>
      <w:r>
        <w:t xml:space="preserve">Category</w:t>
      </w:r>
    </w:p>
    <w:p>
      <w:pPr>
        <w:pStyle w:val="BodyText"/>
      </w:pPr>
      <w:r>
        <w:t xml:space="preserve">Q3 Sales (KWD)</w:t>
      </w:r>
    </w:p>
    <w:p>
      <w:pPr>
        <w:pStyle w:val="BodyText"/>
      </w:pPr>
      <w:r>
        <w:t xml:space="preserve">% of Total Sales</w:t>
      </w:r>
    </w:p>
    <w:p>
      <w:pPr>
        <w:pStyle w:val="BodyText"/>
      </w:pPr>
      <w:r>
        <w:t xml:space="preserve">YoY Growth</w:t>
      </w:r>
    </w:p>
    <w:p>
      <w:pPr>
        <w:pStyle w:val="BodyText"/>
      </w:pPr>
      <w:r>
        <w:t xml:space="preserve">Prescription Medications</w:t>
      </w:r>
    </w:p>
    <w:p>
      <w:pPr>
        <w:pStyle w:val="BodyText"/>
      </w:pPr>
      <w:r>
        <w:t xml:space="preserve">112,400</w:t>
      </w:r>
    </w:p>
    <w:p>
      <w:pPr>
        <w:pStyle w:val="BodyText"/>
      </w:pPr>
      <w:r>
        <w:t xml:space="preserve">39.4%</w:t>
      </w:r>
    </w:p>
    <w:p>
      <w:pPr>
        <w:pStyle w:val="BodyText"/>
      </w:pPr>
      <w:r>
        <w:t xml:space="preserve">9.2%</w:t>
      </w:r>
    </w:p>
    <w:p>
      <w:pPr>
        <w:pStyle w:val="BodyText"/>
      </w:pPr>
      <w:r>
        <w:t xml:space="preserve">Over-the-Counter (OTC)</w:t>
      </w:r>
    </w:p>
    <w:p>
      <w:pPr>
        <w:pStyle w:val="BodyText"/>
      </w:pPr>
      <w:r>
        <w:t xml:space="preserve">85,600</w:t>
      </w:r>
    </w:p>
    <w:p>
      <w:pPr>
        <w:pStyle w:val="BodyText"/>
      </w:pPr>
      <w:r>
        <w:t xml:space="preserve">d 30.0%d</w:t>
      </w:r>
    </w:p>
    <w:p>
      <w:pPr>
        <w:pStyle w:val="BodyText"/>
      </w:pPr>
      <w:r>
        <w:t xml:space="preserve">18.1%</w:t>
      </w:r>
    </w:p>
    <w:p>
      <w:pPr>
        <w:pStyle w:val="BodyText"/>
      </w:pPr>
      <w:r>
        <w:t xml:space="preserve">Cosmetics &amp; Personal Care</w:t>
      </w:r>
    </w:p>
    <w:p>
      <w:pPr>
        <w:pStyle w:val="BodyText"/>
      </w:pPr>
      <w:r>
        <w:t xml:space="preserve">42,300</w:t>
      </w:r>
    </w:p>
    <w:p>
      <w:pPr>
        <w:pStyle w:val="BodyText"/>
      </w:pPr>
      <w:r>
        <w:t xml:space="preserve">d 14.8%</w:t>
      </w:r>
    </w:p>
    <w:p>
      <w:pPr>
        <w:pStyle w:val="BodyText"/>
      </w:pPr>
      <w:r>
        <w:t xml:space="preserve">d</w:t>
      </w:r>
    </w:p>
    <w:p>
      <w:pPr>
        <w:pStyle w:val="BodyText"/>
      </w:pPr>
      <w:r>
        <w:t xml:space="preserve">22.5%</w:t>
      </w:r>
    </w:p>
    <w:p>
      <w:pPr>
        <w:pStyle w:val="BodyText"/>
      </w:pPr>
      <w:r>
        <w:t xml:space="preserve">Vitamins &amp; Supplements</w:t>
      </w:r>
    </w:p>
    <w:p>
      <w:pPr>
        <w:pStyle w:val="BodyText"/>
      </w:pPr>
      <w:r>
        <w:t xml:space="preserve">&lt;</w:t>
      </w:r>
    </w:p>
    <w:p>
      <w:pPr>
        <w:pStyle w:val="BodyText"/>
      </w:pPr>
      <w:r>
        <w:t xml:space="preserve">28,100d</w:t>
      </w:r>
    </w:p>
    <w:p>
      <w:pPr>
        <w:pStyle w:val="BodyText"/>
      </w:pPr>
      <w:r>
        <w:t xml:space="preserve">9.8%</w:t>
      </w:r>
    </w:p>
    <w:p>
      <w:pPr>
        <w:pStyle w:val="BodyText"/>
      </w:pPr>
      <w:r>
        <w:t xml:space="preserve">15.7%</w:t>
      </w:r>
    </w:p>
    <w:p>
      <w:pPr>
        <w:pStyle w:val="BodyText"/>
      </w:pPr>
      <w:r>
        <w:t xml:space="preserve">Nutritionals &amp; Baby Care</w:t>
      </w:r>
    </w:p>
    <w:p>
      <w:pPr>
        <w:pStyle w:val="BodyText"/>
      </w:pPr>
      <w:r>
        <w:t xml:space="preserve">17,000</w:t>
      </w:r>
    </w:p>
    <w:p>
      <w:pPr>
        <w:pStyle w:val="BodyText"/>
      </w:pPr>
      <w:r>
        <w:t xml:space="preserve">d 6.0%</w:t>
      </w:r>
    </w:p>
    <w:p>
      <w:pPr>
        <w:pStyle w:val="BodyText"/>
      </w:pPr>
      <w:r>
        <w:t xml:space="preserve">d</w:t>
      </w:r>
    </w:p>
    <w:p>
      <w:pPr>
        <w:pStyle w:val="BodyText"/>
      </w:pPr>
      <w:r>
        <w:t xml:space="preserve">24.3%</w:t>
      </w:r>
    </w:p>
    <w:p>
      <w:pPr>
        <w:pStyle w:val="BodyText"/>
      </w:pPr>
      <w:r>
        <w:t xml:space="preserve">The Cosmetics &amp; Personal Care category saw exceptional growth (22.5% YoY), driven by demand for premium Arabic skincare products and increased health-conscious consumer behavior in Kuwait City. Similarly, Nutritionals &amp; Baby Care surged due to rising birth rates in Kuwait City suburbs and growing parental awareness – a trend we've strategically capitalized on through our Chemist's specialized baby care consultations.</w:t>
      </w:r>
    </w:p>
    <w:bookmarkEnd w:id="22"/>
    <w:bookmarkStart w:id="23" w:name="iv.-market-positioning-in-kuwait-city"/>
    <w:p>
      <w:pPr>
        <w:pStyle w:val="Heading2"/>
      </w:pPr>
      <w:r>
        <w:t xml:space="preserve">IV. Market Positioning in Kuwait City</w:t>
      </w:r>
    </w:p>
    <w:p>
      <w:pPr>
        <w:pStyle w:val="FirstParagraph"/>
      </w:pPr>
      <w:r>
        <w:t xml:space="preserve">As a leading Chemist in Kuwait City, our competitive advantage lies in three key areas: 1) Same-day prescription delivery across all major Kuwait City neighborhoods (covering 95% of the city's population), 2) Multilingual staff fluent in English, Arabic, and Hindi to serve Kuwait City's diverse expatriate community, and 3) Strategic partnerships with local clinics. Our Q3 customer satisfaction score of 4.7/5 reflects our commitment to excellence within Kuwait City's healthcare landscape.</w:t>
      </w:r>
    </w:p>
    <w:p>
      <w:pPr>
        <w:pStyle w:val="BodyText"/>
      </w:pPr>
      <w:r>
        <w:t xml:space="preserve">Market analysis reveals that our Chemist holds a 15.2% market share in Kuwait City's pharmacy sector – the highest among independent pharmacies in the region. This positions us as a critical player in Kuwait's national health infrastructure, particularly during seasonal health challenges like summer heatwaves and winter respiratory illnesses.</w:t>
      </w:r>
    </w:p>
    <w:bookmarkEnd w:id="23"/>
    <w:bookmarkStart w:id="24" w:name="v.-challenges-opportunities"/>
    <w:p>
      <w:pPr>
        <w:pStyle w:val="Heading2"/>
      </w:pPr>
      <w:r>
        <w:t xml:space="preserve">V. Challenges &amp; Opportunities</w:t>
      </w:r>
    </w:p>
    <w:p>
      <w:pPr>
        <w:pStyle w:val="FirstParagraph"/>
      </w:pPr>
      <w:r>
        <w:t xml:space="preserve">Despite strong performance, we face challenges unique to operating a Chemist in Kuwait City. The most significant is the 8% annual pharmacy license renewal cost increase mandated by Kuwait Ministry of Health, impacting our operational budget. Additionally, competition from online pharmacies has grown (12% market share growth), though our physical presence in Kuwait City remains a key differentiator for urgent medication needs.</w:t>
      </w:r>
    </w:p>
    <w:p>
      <w:pPr>
        <w:pStyle w:val="BodyText"/>
      </w:pPr>
      <w:r>
        <w:t xml:space="preserve">Opportunities abound: 1) The new 2023-2030 National Health Strategy prioritizes community-based healthcare, creating potential partnerships with Kuwait City municipal health centers. 2) Growing demand for specialized pharmacy services (like diabetic care clinics) presents expansion opportunities within Kuwait City. 3) The upcoming Al-Masaa Development Project in Kuwait City will bring 15,000 new residents to our service area by Q1 2024.</w:t>
      </w:r>
    </w:p>
    <w:bookmarkEnd w:id="24"/>
    <w:bookmarkStart w:id="25" w:name="vi.-strategic-recommendations"/>
    <w:p>
      <w:pPr>
        <w:pStyle w:val="Heading2"/>
      </w:pPr>
      <w:r>
        <w:t xml:space="preserve">VI. Strategic Recommendations</w:t>
      </w:r>
    </w:p>
    <w:p>
      <w:pPr>
        <w:pStyle w:val="FirstParagraph"/>
      </w:pPr>
      <w:r>
        <w:t xml:space="preserve">Based on this Sales Report, we propose the following action items for the Chemist in Kuwait City:</w:t>
      </w:r>
    </w:p>
    <w:p>
      <w:pPr>
        <w:numPr>
          <w:ilvl w:val="0"/>
          <w:numId w:val="1001"/>
        </w:numPr>
        <w:pStyle w:val="Compact"/>
      </w:pPr>
      <w:r>
        <w:rPr>
          <w:bCs/>
          <w:b/>
        </w:rPr>
        <w:t xml:space="preserve">Expand Specialty Services:</w:t>
      </w:r>
      <w:r>
        <w:t xml:space="preserve"> </w:t>
      </w:r>
      <w:r>
        <w:t xml:space="preserve">Launch a dedicated Diabetes Management Clinic within our Kuwait City location by Q1 2024, targeting high prevalence areas like Al-Shuwaikh and Al-Naseriah.</w:t>
      </w:r>
    </w:p>
    <w:p>
      <w:pPr>
        <w:numPr>
          <w:ilvl w:val="0"/>
          <w:numId w:val="1001"/>
        </w:numPr>
        <w:pStyle w:val="Compact"/>
      </w:pPr>
      <w:r>
        <w:rPr>
          <w:bCs/>
          <w:b/>
        </w:rPr>
        <w:t xml:space="preserve">Enhance Digital Integration:</w:t>
      </w:r>
      <w:r>
        <w:t xml:space="preserve"> </w:t>
      </w:r>
      <w:r>
        <w:t xml:space="preserve">Develop a mobile app for same-day delivery across all Kuwait City districts with AI-powered medication reminders – addressing the online pharmacy challenge while leveraging our physical presence advantage.</w:t>
      </w:r>
    </w:p>
    <w:p>
      <w:pPr>
        <w:numPr>
          <w:ilvl w:val="0"/>
          <w:numId w:val="1001"/>
        </w:numPr>
        <w:pStyle w:val="Compact"/>
      </w:pPr>
      <w:r>
        <w:rPr>
          <w:bCs/>
          <w:b/>
        </w:rPr>
        <w:t xml:space="preserve">Leverage Community Partnerships:</w:t>
      </w:r>
      <w:r>
        <w:t xml:space="preserve"> </w:t>
      </w:r>
      <w:r>
        <w:t xml:space="preserve">Partner with Kuwait City-based schools and companies for health awareness programs, reinforcing our Chemist's role as a community health partner.</w:t>
      </w:r>
    </w:p>
    <w:p>
      <w:pPr>
        <w:numPr>
          <w:ilvl w:val="0"/>
          <w:numId w:val="1001"/>
        </w:numPr>
        <w:pStyle w:val="Compact"/>
      </w:pPr>
      <w:r>
        <w:rPr>
          <w:bCs/>
          <w:b/>
        </w:rPr>
        <w:t xml:space="preserve">Optimize Inventory for Local Needs:</w:t>
      </w:r>
      <w:r>
        <w:t xml:space="preserve"> </w:t>
      </w:r>
      <w:r>
        <w:t xml:space="preserve">Increase stock of high-demand items like summer skincare and respiratory relief products based on Kuwait City's seasonal weather patterns.</w:t>
      </w:r>
    </w:p>
    <w:bookmarkEnd w:id="25"/>
    <w:bookmarkStart w:id="26" w:name="vii.-conclusion"/>
    <w:p>
      <w:pPr>
        <w:pStyle w:val="Heading2"/>
      </w:pPr>
      <w:r>
        <w:t xml:space="preserve">VII. Conclusion</w:t>
      </w:r>
    </w:p>
    <w:p>
      <w:pPr>
        <w:pStyle w:val="FirstParagraph"/>
      </w:pPr>
      <w:r>
        <w:t xml:space="preserve">This Sales Report affirms the Premium Chemist in Kuwait City as a vital healthcare institution driving positive health outcomes for 58,000+ monthly customers. Our strategic focus on community-centric service within Kuwait City's dynamic market has not only secured strong financial performance but also strengthened our position as a trusted partner in Kuwait's healthcare journey. The 12.7% sales growth demonstrates our ability to thrive amid industry challenges, proving that a well-executed Chemist model tailored to Kuwait City's unique needs delivers sustainable value for both the business and the community.</w:t>
      </w:r>
    </w:p>
    <w:p>
      <w:pPr>
        <w:pStyle w:val="BodyText"/>
      </w:pPr>
      <w:r>
        <w:t xml:space="preserve">As we move into 2024, we remain committed to elevating our service standards as Kuwait's premier Chemist. By doubling down on our neighborhood-focused approach in Kuwait City – from personalized consultations to rapid emergency medication access – we will continue setting the benchmark for pharmacy excellence across the Gulf region. This Sales Report serves as a roadmap for maintaining our leadership position while expanding our impact throughout Kuwait City and beyond.</w:t>
      </w:r>
    </w:p>
    <w:p>
      <w:pPr>
        <w:pStyle w:val="BodyText"/>
      </w:pPr>
      <w:r>
        <w:rPr>
          <w:bCs/>
          <w:b/>
        </w:rPr>
        <w:t xml:space="preserve">Prepared By:</w:t>
      </w:r>
      <w:r>
        <w:t xml:space="preserve"> </w:t>
      </w:r>
      <w:r>
        <w:t xml:space="preserve">[Your Name/Department]</w:t>
      </w:r>
      <w:r>
        <w:br/>
      </w:r>
      <w:r>
        <w:rPr>
          <w:bCs/>
          <w:b/>
        </w:rPr>
        <w:t xml:space="preserve">For:</w:t>
      </w:r>
      <w:r>
        <w:t xml:space="preserve"> </w:t>
      </w:r>
      <w:r>
        <w:t xml:space="preserve">Kuwait City Management Team</w:t>
      </w:r>
      <w:r>
        <w:br/>
      </w:r>
      <w:r>
        <w:rPr>
          <w:iCs/>
          <w:i/>
        </w:rPr>
        <w:t xml:space="preserve">This report is confidential and intended solely for internal use at Premium Chemist, Kuwait City operations</w:t>
      </w:r>
    </w:p>
    <w:p>
      <w:pPr>
        <w:pStyle w:val="BodyText"/>
      </w:pPr>
      <w:r>
        <w:t xml:space="preserve">Note: All figures in KWD (Kuwaiti Dinar). Exchange rate used: 1 KWD = 3.25 USD. Market data sourced from Kuwait Ministry of Health &amp; Statistic Authority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Chemist in Kuwait City</dc:title>
  <dc:creator/>
  <dc:language>en</dc:language>
  <cp:keywords/>
  <dcterms:created xsi:type="dcterms:W3CDTF">2026-07-23T04:49:39Z</dcterms:created>
  <dcterms:modified xsi:type="dcterms:W3CDTF">2026-07-23T04:49:39Z</dcterms:modified>
</cp:coreProperties>
</file>

<file path=docProps/custom.xml><?xml version="1.0" encoding="utf-8"?>
<Properties xmlns="http://schemas.openxmlformats.org/officeDocument/2006/custom-properties" xmlns:vt="http://schemas.openxmlformats.org/officeDocument/2006/docPropsVTypes"/>
</file>