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Casablanca,</w:t>
      </w:r>
      <w:r>
        <w:t xml:space="preserve"> </w:t>
      </w:r>
      <w:r>
        <w:t xml:space="preserve">Morocco</w:t>
      </w:r>
    </w:p>
    <w:bookmarkStart w:id="27" w:name="X4742760db46eedb0bf4afb4bd552e2ecee825dc"/>
    <w:p>
      <w:pPr>
        <w:pStyle w:val="Heading1"/>
      </w:pPr>
      <w:r>
        <w:t xml:space="preserve">Quarterly Sales Report: Chemist Operations in Casablanca, Morocco</w:t>
      </w:r>
    </w:p>
    <w:bookmarkStart w:id="20" w:name="executive-summary"/>
    <w:p>
      <w:pPr>
        <w:pStyle w:val="Heading2"/>
      </w:pPr>
      <w:r>
        <w:t xml:space="preserve">Executive Summary</w:t>
      </w:r>
    </w:p>
    <w:p>
      <w:pPr>
        <w:pStyle w:val="FirstParagraph"/>
      </w:pPr>
      <w:r>
        <w:t xml:space="preserve">This comprehensive sales report details the performance of our chemist (pharmacy) chain across Casablanca, Morocco during Q3 2023 (July-September). As the commercial hub of Morocco with a population exceeding 4 million residents, Casablanca represents a critical market for pharmaceutical retail. Our strategic focus on community health services and essential medicine distribution has driven significant growth this quarter, with total sales increasing by 18.7% year-over-year. This report analyzes key performance indicators, customer behavior trends specific to the Moroccan market, and actionable insights for sustained expansion within Casablanca's dynamic pharmaceutical landscape.</w:t>
      </w:r>
    </w:p>
    <w:bookmarkEnd w:id="20"/>
    <w:bookmarkStart w:id="21" w:name="sales-performance-overview"/>
    <w:p>
      <w:pPr>
        <w:pStyle w:val="Heading2"/>
      </w:pPr>
      <w:r>
        <w:t xml:space="preserve">Sales Performance Overview</w:t>
      </w:r>
    </w:p>
    <w:p>
      <w:pPr>
        <w:pStyle w:val="FirstParagraph"/>
      </w:pPr>
      <w:r>
        <w:t xml:space="preserve">Our Casablanca chemist network—comprising 37 strategically located outlets across key districts (Ain Diab, Hay Mohammadi, Sidi Maarouf, and Agdal)—achieved remarkable results this quarter. Total revenue reached MAD 18.4 million (approximately USD 1.85 million), reflecting a strong recovery from pandemic-era disruptions. The growth trajectory is particularly notable given Morocco's competitive pharmaceutical market, where we've maintained a 22% market share in the Casablanca metro area.</w:t>
      </w:r>
    </w:p>
    <w:p>
      <w:pPr>
        <w:pStyle w:val="BodyText"/>
      </w:pPr>
      <w:r>
        <w:t xml:space="preserve">Key highlights include:</w:t>
      </w:r>
    </w:p>
    <w:p>
      <w:pPr>
        <w:numPr>
          <w:ilvl w:val="0"/>
          <w:numId w:val="1001"/>
        </w:numPr>
        <w:pStyle w:val="Compact"/>
      </w:pPr>
      <w:r>
        <w:rPr>
          <w:bCs/>
          <w:b/>
        </w:rPr>
        <w:t xml:space="preserve">Prescription Medications:</w:t>
      </w:r>
      <w:r>
        <w:t xml:space="preserve"> </w:t>
      </w:r>
      <w:r>
        <w:t xml:space="preserve">Increased by 24.3% (MAD 7.1M), driven by rising chronic disease management needs in urban populations</w:t>
      </w:r>
    </w:p>
    <w:p>
      <w:pPr>
        <w:numPr>
          <w:ilvl w:val="0"/>
          <w:numId w:val="1001"/>
        </w:numPr>
        <w:pStyle w:val="Compact"/>
      </w:pPr>
      <w:r>
        <w:rPr>
          <w:bCs/>
          <w:b/>
        </w:rPr>
        <w:t xml:space="preserve">OTC Products:</w:t>
      </w:r>
      <w:r>
        <w:t xml:space="preserve"> </w:t>
      </w:r>
      <w:r>
        <w:t xml:space="preserve">Surpassed expectations with 19.8% growth (MAD 5.8M), particularly in vitamins and wellness products</w:t>
      </w:r>
    </w:p>
    <w:p>
      <w:pPr>
        <w:numPr>
          <w:ilvl w:val="0"/>
          <w:numId w:val="1001"/>
        </w:numPr>
        <w:pStyle w:val="Compact"/>
      </w:pPr>
      <w:r>
        <w:rPr>
          <w:bCs/>
          <w:b/>
        </w:rPr>
        <w:t xml:space="preserve">Beauty &amp; Personal Care:</w:t>
      </w:r>
      <w:r>
        <w:t xml:space="preserve"> </w:t>
      </w:r>
      <w:r>
        <w:t xml:space="preserve">Achieved 27.5% growth (MAD 3.2M) amid cultural shifts toward premium skincare</w:t>
      </w:r>
    </w:p>
    <w:p>
      <w:pPr>
        <w:numPr>
          <w:ilvl w:val="0"/>
          <w:numId w:val="1001"/>
        </w:numPr>
        <w:pStyle w:val="Compact"/>
      </w:pPr>
      <w:r>
        <w:rPr>
          <w:bCs/>
          <w:b/>
        </w:rPr>
        <w:t xml:space="preserve">Telemedicine Integration:</w:t>
      </w:r>
      <w:r>
        <w:t xml:space="preserve"> </w:t>
      </w:r>
      <w:r>
        <w:t xml:space="preserve">32% of new prescriptions came through our digital health platform, reducing in-store wait times by 40%</w:t>
      </w:r>
    </w:p>
    <w:bookmarkEnd w:id="21"/>
    <w:bookmarkStart w:id="22" w:name="Xdc60b163d52a993722f39464a3a27f7df124d96"/>
    <w:p>
      <w:pPr>
        <w:pStyle w:val="Heading2"/>
      </w:pPr>
      <w:r>
        <w:t xml:space="preserve">Market-Specific Analysis: Casablanca Dynamics</w:t>
      </w:r>
    </w:p>
    <w:p>
      <w:pPr>
        <w:pStyle w:val="FirstParagraph"/>
      </w:pPr>
      <w:r>
        <w:t xml:space="preserve">Casablanca's unique demographic profile directly influences our sales performance. As Morocco's economic capital with a young population (median age 28), we've observed distinct purchasing patterns:</w:t>
      </w:r>
    </w:p>
    <w:p>
      <w:pPr>
        <w:numPr>
          <w:ilvl w:val="0"/>
          <w:numId w:val="1002"/>
        </w:numPr>
        <w:pStyle w:val="Compact"/>
      </w:pPr>
      <w:r>
        <w:rPr>
          <w:bCs/>
          <w:b/>
        </w:rPr>
        <w:t xml:space="preserve">Seasonal Demand Shifts:</w:t>
      </w:r>
      <w:r>
        <w:t xml:space="preserve"> </w:t>
      </w:r>
      <w:r>
        <w:t xml:space="preserve">July-August saw a 35% spike in insect repellents and antiseptics during Ramadan, while September brought surge in school-related products (vitamins, first-aid kits)</w:t>
      </w:r>
    </w:p>
    <w:p>
      <w:pPr>
        <w:numPr>
          <w:ilvl w:val="0"/>
          <w:numId w:val="1002"/>
        </w:numPr>
        <w:pStyle w:val="Compact"/>
      </w:pPr>
      <w:r>
        <w:rPr>
          <w:bCs/>
          <w:b/>
        </w:rPr>
        <w:t xml:space="preserve">District Variation:</w:t>
      </w:r>
      <w:r>
        <w:t xml:space="preserve"> </w:t>
      </w:r>
      <w:r>
        <w:t xml:space="preserve">High-income areas (Ain Diab) drove premium product sales (24% higher average transaction value), while working-class neighborhoods (Hay Mohammadi) showed stronger volume in affordable generics</w:t>
      </w:r>
    </w:p>
    <w:p>
      <w:pPr>
        <w:numPr>
          <w:ilvl w:val="0"/>
          <w:numId w:val="1002"/>
        </w:numPr>
        <w:pStyle w:val="Compact"/>
      </w:pPr>
      <w:r>
        <w:rPr>
          <w:bCs/>
          <w:b/>
        </w:rPr>
        <w:t xml:space="preserve">Cultural Adaptation:</w:t>
      </w:r>
      <w:r>
        <w:t xml:space="preserve"> </w:t>
      </w:r>
      <w:r>
        <w:t xml:space="preserve">Sales of halal-certified skincare and traditional herbal remedies increased by 38% as we integrated Moroccan wellness traditions with modern pharmaceuticals</w:t>
      </w:r>
    </w:p>
    <w:bookmarkEnd w:id="22"/>
    <w:bookmarkStart w:id="23" w:name="X841adec6471ca4b44697235440a422e55eea590"/>
    <w:p>
      <w:pPr>
        <w:pStyle w:val="Heading2"/>
      </w:pPr>
      <w:r>
        <w:t xml:space="preserve">Customer Behavior Trends in Morocco Casablanca</w:t>
      </w:r>
    </w:p>
    <w:p>
      <w:pPr>
        <w:pStyle w:val="FirstParagraph"/>
      </w:pPr>
      <w:r>
        <w:t xml:space="preserve">Our CRM analysis reveals profound shifts in consumer expectations within the Moroccan market:</w:t>
      </w:r>
    </w:p>
    <w:p>
      <w:pPr>
        <w:pStyle w:val="BodyText"/>
      </w:pPr>
      <w:r>
        <w:rPr>
          <w:bCs/>
          <w:b/>
        </w:rPr>
        <w:t xml:space="preserve">Health Consciousness:</w:t>
      </w:r>
      <w:r>
        <w:t xml:space="preserve"> </w:t>
      </w:r>
      <w:r>
        <w:t xml:space="preserve">68% of customers now prioritize preventive care products (vitamins, supplements) over symptomatic treatment—up from 52% in 2021. This trend is strongest among women aged 25-45 in Casablanca's affluent districts.</w:t>
      </w:r>
    </w:p>
    <w:p>
      <w:pPr>
        <w:pStyle w:val="BodyText"/>
      </w:pPr>
      <w:r>
        <w:rPr>
          <w:bCs/>
          <w:b/>
        </w:rPr>
        <w:t xml:space="preserve">Digital Adoption:</w:t>
      </w:r>
      <w:r>
        <w:t xml:space="preserve"> </w:t>
      </w:r>
      <w:r>
        <w:t xml:space="preserve">Mobile payment usage jumped to 76% (vs. 48% last year), with our "PharmaConnect" app driving repeat visits. Notably, WhatsApp became the primary customer service channel (62% of queries handled via WhatsApp Business).</w:t>
      </w:r>
    </w:p>
    <w:p>
      <w:pPr>
        <w:pStyle w:val="BodyText"/>
      </w:pPr>
      <w:r>
        <w:rPr>
          <w:bCs/>
          <w:b/>
        </w:rPr>
        <w:t xml:space="preserve">Ethical Purchasing:</w:t>
      </w:r>
      <w:r>
        <w:t xml:space="preserve"> </w:t>
      </w:r>
      <w:r>
        <w:t xml:space="preserve">54% of customers now seek pharmacies with transparent sourcing practices. We've responded by adding QR codes on product packaging showing Moroccan manufacturing origins and quality certifications.</w:t>
      </w:r>
    </w:p>
    <w:bookmarkEnd w:id="23"/>
    <w:bookmarkStart w:id="24" w:name="X38b4d30c2d9037285c7040f6a20133c5d9bd848"/>
    <w:p>
      <w:pPr>
        <w:pStyle w:val="Heading2"/>
      </w:pPr>
      <w:r>
        <w:t xml:space="preserve">Challenges in the Moroccan Market Context</w:t>
      </w:r>
    </w:p>
    <w:p>
      <w:pPr>
        <w:pStyle w:val="FirstParagraph"/>
      </w:pPr>
      <w:r>
        <w:t xml:space="preserve">Despite growth, Casablanca operations face unique challenges:</w:t>
      </w:r>
    </w:p>
    <w:p>
      <w:pPr>
        <w:numPr>
          <w:ilvl w:val="0"/>
          <w:numId w:val="1003"/>
        </w:numPr>
        <w:pStyle w:val="Compact"/>
      </w:pPr>
      <w:r>
        <w:rPr>
          <w:bCs/>
          <w:b/>
        </w:rPr>
        <w:t xml:space="preserve">Regulatory Navigation:</w:t>
      </w:r>
      <w:r>
        <w:t xml:space="preserve"> </w:t>
      </w:r>
      <w:r>
        <w:t xml:space="preserve">Complex Ministry of Health compliance requirements for imported medications increased stock management costs by 15%</w:t>
      </w:r>
    </w:p>
    <w:p>
      <w:pPr>
        <w:numPr>
          <w:ilvl w:val="0"/>
          <w:numId w:val="1003"/>
        </w:numPr>
        <w:pStyle w:val="Compact"/>
      </w:pPr>
      <w:r>
        <w:rPr>
          <w:bCs/>
          <w:b/>
        </w:rPr>
        <w:t xml:space="preserve">Distribution Logistics:</w:t>
      </w:r>
      <w:r>
        <w:t xml:space="preserve"> </w:t>
      </w:r>
      <w:r>
        <w:t xml:space="preserve">Traffic congestion in Casablanca's central districts causes 20% average delivery delay during peak hours</w:t>
      </w:r>
    </w:p>
    <w:p>
      <w:pPr>
        <w:numPr>
          <w:ilvl w:val="0"/>
          <w:numId w:val="1003"/>
        </w:numPr>
        <w:pStyle w:val="Compact"/>
      </w:pPr>
      <w:r>
        <w:rPr>
          <w:bCs/>
          <w:b/>
        </w:rPr>
        <w:t xml:space="preserve">Competition Pressure:</w:t>
      </w:r>
      <w:r>
        <w:t xml:space="preserve"> </w:t>
      </w:r>
      <w:r>
        <w:t xml:space="preserve">New discount chains capturing price-sensitive segments (e.g., "PharmaDiscount" with 30% lower prices on generics)</w:t>
      </w:r>
    </w:p>
    <w:p>
      <w:pPr>
        <w:pStyle w:val="FirstParagraph"/>
      </w:pPr>
      <w:r>
        <w:t xml:space="preserve">We've mitigated these through strategic partnerships: Collaborating with local logistics firm "Casa Express" for same-day deliveries in high-demand zones, and developing a proprietary compliance dashboard to streamline regulatory filings.</w:t>
      </w:r>
    </w:p>
    <w:bookmarkEnd w:id="24"/>
    <w:bookmarkStart w:id="25" w:name="X45cf8d6f9679e5a15d435236a48aeb66853938d"/>
    <w:p>
      <w:pPr>
        <w:pStyle w:val="Heading2"/>
      </w:pPr>
      <w:r>
        <w:t xml:space="preserve">Strategic Recommendations for Casablanca Expansion</w:t>
      </w:r>
    </w:p>
    <w:p>
      <w:pPr>
        <w:pStyle w:val="FirstParagraph"/>
      </w:pPr>
      <w:r>
        <w:t xml:space="preserve">To capitalize on Casablanca's potential, we propose the following market-specific initiatives:</w:t>
      </w:r>
    </w:p>
    <w:p>
      <w:pPr>
        <w:numPr>
          <w:ilvl w:val="0"/>
          <w:numId w:val="1004"/>
        </w:numPr>
        <w:pStyle w:val="Compact"/>
      </w:pPr>
      <w:r>
        <w:rPr>
          <w:bCs/>
          <w:b/>
        </w:rPr>
        <w:t xml:space="preserve">Localized Wellness Hubs:</w:t>
      </w:r>
      <w:r>
        <w:t xml:space="preserve"> </w:t>
      </w:r>
      <w:r>
        <w:t xml:space="preserve">Convert 5 high-performing outlets into "Health &amp; Wellness Centers" offering free blood pressure screenings (partnering with local clinics) and personalized supplement consultations. This aligns with Morocco's National Health Strategy 2030 emphasizing preventive care.</w:t>
      </w:r>
    </w:p>
    <w:p>
      <w:pPr>
        <w:numPr>
          <w:ilvl w:val="0"/>
          <w:numId w:val="1004"/>
        </w:numPr>
        <w:pStyle w:val="Compact"/>
      </w:pPr>
      <w:r>
        <w:rPr>
          <w:bCs/>
          <w:b/>
        </w:rPr>
        <w:t xml:space="preserve">Digital-First Loyalty Program:</w:t>
      </w:r>
      <w:r>
        <w:t xml:space="preserve"> </w:t>
      </w:r>
      <w:r>
        <w:t xml:space="preserve">Launch "Salamati" program integrated with Moroccan mobile wallets (M-Pesa, CMI Pay). Tiered rewards based on health metrics (e.g., points for regular prescription pickups) to deepen community engagement.</w:t>
      </w:r>
    </w:p>
    <w:p>
      <w:pPr>
        <w:numPr>
          <w:ilvl w:val="0"/>
          <w:numId w:val="1004"/>
        </w:numPr>
        <w:pStyle w:val="Compact"/>
      </w:pPr>
      <w:r>
        <w:rPr>
          <w:bCs/>
          <w:b/>
        </w:rPr>
        <w:t xml:space="preserve">Sustainable Packaging Initiative:</w:t>
      </w:r>
      <w:r>
        <w:t xml:space="preserve"> </w:t>
      </w:r>
      <w:r>
        <w:t xml:space="preserve">Replace plastic bottles with biodegradable Moroccan olive oil-based packaging for OTC products, addressing growing environmental consciousness among urban Moroccans.</w:t>
      </w:r>
    </w:p>
    <w:p>
      <w:pPr>
        <w:numPr>
          <w:ilvl w:val="0"/>
          <w:numId w:val="1004"/>
        </w:numPr>
        <w:pStyle w:val="Compact"/>
      </w:pPr>
      <w:r>
        <w:rPr>
          <w:bCs/>
          <w:b/>
        </w:rPr>
        <w:t xml:space="preserve">Community Health Partnerships:</w:t>
      </w:r>
      <w:r>
        <w:t xml:space="preserve"> </w:t>
      </w:r>
      <w:r>
        <w:t xml:space="preserve">Establish monthly health workshops at Casablanca mosques and community centers focused on diabetes management (prevalent in 14.2% of adults) and maternal wellness—leveraging trusted local institutions.</w:t>
      </w:r>
    </w:p>
    <w:bookmarkEnd w:id="25"/>
    <w:bookmarkStart w:id="26" w:name="conclusion-future-outlook"/>
    <w:p>
      <w:pPr>
        <w:pStyle w:val="Heading2"/>
      </w:pPr>
      <w:r>
        <w:t xml:space="preserve">Conclusion: Future Outlook</w:t>
      </w:r>
    </w:p>
    <w:p>
      <w:pPr>
        <w:pStyle w:val="FirstParagraph"/>
      </w:pPr>
      <w:r>
        <w:t xml:space="preserve">The Casablanca chemist market demonstrates exceptional growth potential rooted in Morocco's demographic advantages and evolving health consciousness. By embedding our operations within Casablanca's cultural fabric—from respecting traditional wellness practices to leveraging digital tools preferred by Moroccan consumers—we've positioned ourselves as more than a pharmacy, but a community health partner.</w:t>
      </w:r>
    </w:p>
    <w:p>
      <w:pPr>
        <w:pStyle w:val="BodyText"/>
      </w:pPr>
      <w:r>
        <w:t xml:space="preserve">Looking ahead, we project 25% annual growth for our Casablanca portfolio through 2024. The Q3 results confirm that our strategy of combining regulatory compliance with culturally intelligent service delivery creates sustainable competitive advantage in Morocco's most vital commercial market. We recommend prioritizing the Wellness Hubs expansion in Q4 to capture seasonal health-conscious purchasing surges, while maintaining rigorous quality control aligned with Moroccan pharmaceutical standards.</w:t>
      </w:r>
    </w:p>
    <w:p>
      <w:pPr>
        <w:pStyle w:val="BodyText"/>
      </w:pPr>
      <w:r>
        <w:rPr>
          <w:bCs/>
          <w:b/>
        </w:rPr>
        <w:t xml:space="preserve">Prepared for:</w:t>
      </w:r>
      <w:r>
        <w:t xml:space="preserve"> </w:t>
      </w:r>
      <w:r>
        <w:t xml:space="preserve">Executive Leadership Team | Morocco Operations Division</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Chemist Operations in Casablanca, Morocco</dc:title>
  <dc:creator/>
  <dc:language>en</dc:language>
  <cp:keywords/>
  <dcterms:created xsi:type="dcterms:W3CDTF">2026-07-23T02:27:43Z</dcterms:created>
  <dcterms:modified xsi:type="dcterms:W3CDTF">2026-07-23T02:27:43Z</dcterms:modified>
</cp:coreProperties>
</file>

<file path=docProps/custom.xml><?xml version="1.0" encoding="utf-8"?>
<Properties xmlns="http://schemas.openxmlformats.org/officeDocument/2006/custom-properties" xmlns:vt="http://schemas.openxmlformats.org/officeDocument/2006/docPropsVTypes"/>
</file>