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Sales</w:t>
      </w:r>
      <w:r>
        <w:t xml:space="preserve"> </w:t>
      </w:r>
      <w:r>
        <w:t xml:space="preserve">Report</w:t>
      </w:r>
      <w:r>
        <w:t xml:space="preserve"> </w:t>
      </w:r>
      <w:r>
        <w:t xml:space="preserve">-</w:t>
      </w:r>
      <w:r>
        <w:t xml:space="preserve"> </w:t>
      </w:r>
      <w:r>
        <w:t xml:space="preserve">Auckland,</w:t>
      </w:r>
      <w:r>
        <w:t xml:space="preserve"> </w:t>
      </w:r>
      <w:r>
        <w:t xml:space="preserve">New</w:t>
      </w:r>
      <w:r>
        <w:t xml:space="preserve"> </w:t>
      </w:r>
      <w:r>
        <w:t xml:space="preserve">Zealand</w:t>
      </w:r>
    </w:p>
    <w:bookmarkStart w:id="27" w:name="X738afc0accf53b4ba458888accac7f08d59687d"/>
    <w:p>
      <w:pPr>
        <w:pStyle w:val="Heading1"/>
      </w:pPr>
      <w:r>
        <w:t xml:space="preserve">Quarterly Sales Report: Auckland Pharmacy Performance Analysis</w:t>
      </w:r>
    </w:p>
    <w:p>
      <w:pPr>
        <w:pStyle w:val="FirstParagraph"/>
      </w:pPr>
      <w:r>
        <w:rPr>
          <w:bCs/>
          <w:b/>
        </w:rPr>
        <w:t xml:space="preserve">Date:</w:t>
      </w:r>
      <w:r>
        <w:t xml:space="preserve"> </w:t>
      </w:r>
      <w:r>
        <w:t xml:space="preserve">October 26, 2023</w:t>
      </w:r>
      <w:r>
        <w:br/>
      </w:r>
      <w:r>
        <w:rPr>
          <w:bCs/>
          <w:b/>
        </w:rPr>
        <w:t xml:space="preserve">Period Covered:</w:t>
      </w:r>
      <w:r>
        <w:t xml:space="preserve"> </w:t>
      </w:r>
      <w:r>
        <w:t xml:space="preserve">July 1 - September 30, 2023</w:t>
      </w:r>
      <w:r>
        <w:br/>
      </w:r>
      <w:r>
        <w:rPr>
          <w:bCs/>
          <w:b/>
        </w:rPr>
        <w:t xml:space="preserve">Prepared For:</w:t>
      </w:r>
      <w:r>
        <w:t xml:space="preserve"> </w:t>
      </w:r>
      <w:r>
        <w:t xml:space="preserve">Auckland Regional Management Team</w:t>
      </w:r>
      <w:r>
        <w:br/>
      </w:r>
      <w:r>
        <w:rPr>
          <w:bCs/>
          <w:b/>
        </w:rPr>
        <w:t xml:space="preserve">Prepared By:</w:t>
      </w:r>
      <w:r>
        <w:t xml:space="preserve"> </w:t>
      </w:r>
      <w:r>
        <w:t xml:space="preserve">Retail Analytics Department</w:t>
      </w:r>
    </w:p>
    <w:bookmarkStart w:id="20" w:name="executive-summary"/>
    <w:p>
      <w:pPr>
        <w:pStyle w:val="Heading2"/>
      </w:pPr>
      <w:r>
        <w:t xml:space="preserve">1. Executive Summary</w:t>
      </w:r>
    </w:p>
    <w:p>
      <w:pPr>
        <w:pStyle w:val="FirstParagraph"/>
      </w:pPr>
      <w:r>
        <w:t xml:space="preserve">This comprehensive Sales Report details the operational and financial performance of our flagship chemist store in New Zealand Auckland during Q3 2023. The report demonstrates robust growth across key pharmaceutical and wellness categories, reflecting strong community engagement and strategic positioning within New Zealand's evolving healthcare landscape. Despite global supply chain pressures, our Auckland chemist achieved an 18.7% year-on-year sales increase, significantly outperforming both regional averages (5.2%) and national pharmacy sector benchmarks (3.8%). This success underscores our commitment to serving the diverse health needs of New Zealand Auckland residents through personalized care and premium product accessibility.</w:t>
      </w:r>
    </w:p>
    <w:bookmarkEnd w:id="20"/>
    <w:bookmarkStart w:id="21" w:name="sales-performance-overview"/>
    <w:p>
      <w:pPr>
        <w:pStyle w:val="Heading2"/>
      </w:pPr>
      <w:r>
        <w:t xml:space="preserve">2. Sales Performance Overview</w:t>
      </w:r>
    </w:p>
    <w:p>
      <w:pPr>
        <w:pStyle w:val="FirstParagraph"/>
      </w:pPr>
      <w:r>
        <w:t xml:space="preserve">The Auckland chemist recorded total sales of $1,428,500 for Q3 2023, a substantial increase from $1,199,800 in the same period last year. This growth was driven by consistent foot traffic (averaging 42% more daily customers than Q3 2022) and a remarkable 15.6% rise in average transaction value. Notably, our digital engagement platform saw a 37% increase in mobile app usage among Auckland residents, directly contributing to repeat customer visits. The sales trajectory aligns with New Zealand's post-pandemic healthcare recovery pattern but exceeds expectations through targeted community health initiatives.</w:t>
      </w:r>
    </w:p>
    <w:p>
      <w:pPr>
        <w:pStyle w:val="BodyText"/>
      </w:pPr>
      <w:r>
        <w:t xml:space="preserve">Key performance indicators show exceptional results across all metrics:</w:t>
      </w:r>
    </w:p>
    <w:p>
      <w:pPr>
        <w:numPr>
          <w:ilvl w:val="0"/>
          <w:numId w:val="1001"/>
        </w:numPr>
        <w:pStyle w:val="Compact"/>
      </w:pPr>
      <w:r>
        <w:rPr>
          <w:bCs/>
          <w:b/>
        </w:rPr>
        <w:t xml:space="preserve">Pharmaceutical Sales:</w:t>
      </w:r>
      <w:r>
        <w:t xml:space="preserve"> </w:t>
      </w:r>
      <w:r>
        <w:t xml:space="preserve">$824,300 (57.7% of total sales, +21.4% YoY)</w:t>
      </w:r>
    </w:p>
    <w:p>
      <w:pPr>
        <w:numPr>
          <w:ilvl w:val="0"/>
          <w:numId w:val="1001"/>
        </w:numPr>
        <w:pStyle w:val="Compact"/>
      </w:pPr>
      <w:r>
        <w:rPr>
          <w:bCs/>
          <w:b/>
        </w:rPr>
        <w:t xml:space="preserve">OTC &amp; Wellness Products:</w:t>
      </w:r>
      <w:r>
        <w:t xml:space="preserve"> </w:t>
      </w:r>
      <w:r>
        <w:t xml:space="preserve">$396,200 (27.7% of total sales, +19.8% YoY)</w:t>
      </w:r>
    </w:p>
    <w:p>
      <w:pPr>
        <w:numPr>
          <w:ilvl w:val="0"/>
          <w:numId w:val="1001"/>
        </w:numPr>
        <w:pStyle w:val="Compact"/>
      </w:pPr>
      <w:r>
        <w:rPr>
          <w:bCs/>
          <w:b/>
        </w:rPr>
        <w:t xml:space="preserve">Personal Care &amp; Cosmetics:</w:t>
      </w:r>
      <w:r>
        <w:t xml:space="preserve"> </w:t>
      </w:r>
      <w:r>
        <w:t xml:space="preserve">$154,100 (10.8% of total sales, +23.5% YoY)</w:t>
      </w:r>
    </w:p>
    <w:p>
      <w:pPr>
        <w:numPr>
          <w:ilvl w:val="0"/>
          <w:numId w:val="1001"/>
        </w:numPr>
        <w:pStyle w:val="Compact"/>
      </w:pPr>
      <w:r>
        <w:rPr>
          <w:bCs/>
          <w:b/>
        </w:rPr>
        <w:t xml:space="preserve">Private Label Products:</w:t>
      </w:r>
      <w:r>
        <w:t xml:space="preserve"> </w:t>
      </w:r>
      <w:r>
        <w:t xml:space="preserve">$53,900 (3.8% of total sales, +42.1% YoY)</w:t>
      </w:r>
    </w:p>
    <w:bookmarkEnd w:id="21"/>
    <w:bookmarkStart w:id="22" w:name="X62dd761989603a45990105195b664b603066ada"/>
    <w:p>
      <w:pPr>
        <w:pStyle w:val="Heading2"/>
      </w:pPr>
      <w:r>
        <w:t xml:space="preserve">3. Category-Specific Analysis in New Zealand Auckland Context</w:t>
      </w:r>
    </w:p>
    <w:p>
      <w:pPr>
        <w:pStyle w:val="FirstParagraph"/>
      </w:pPr>
      <w:r>
        <w:t xml:space="preserve">The Q3 performance reveals distinctive patterns reflecting Auckland's unique demographic and health trends. Pharmaceutical sales growth was particularly strong in chronic condition management, with diabetes care products surging 34% (driven by Auckland's increasing elderly population and new clinical partnerships with local GP clinics). Cold &amp; flu remedies showed a 28% uplift during the seasonal transition period – a critical indicator of our chemist's responsiveness to New Zealand weather fluctuations.</w:t>
      </w:r>
    </w:p>
    <w:p>
      <w:pPr>
        <w:pStyle w:val="BodyText"/>
      </w:pPr>
      <w:r>
        <w:t xml:space="preserve">Wellness category growth (OTC &amp; Supplements) directly correlates with Auckland's rising health consciousness. The popularity of locally sourced NZ herbal supplements (+41% YoY) and vitamin D3 products (critical for Auckland's northern latitude exposure challenges) demonstrates our chemist's alignment with New Zealand-specific health priorities. Notably, our 'Auckland Community Health Passport' loyalty program contributed to 68% of wellness category sales through personalized recommendations.</w:t>
      </w:r>
    </w:p>
    <w:p>
      <w:pPr>
        <w:pStyle w:val="BodyText"/>
      </w:pPr>
      <w:r>
        <w:t xml:space="preserve">Personal care sales saw significant growth in sun protection products (+39%) as Auckland entered summer, reflecting both seasonal demand and our chemist's proactive stock management during peak UV index periods. The underperformance in pet pharmacy category (down 2.1% YoY) was offset by strategic repositioning toward premium natural pet health products – a direct response to Auckland's growing urban pet ownership trends.</w:t>
      </w:r>
    </w:p>
    <w:bookmarkEnd w:id="22"/>
    <w:bookmarkStart w:id="23" w:name="X0ba56a075e46ecf2d704436755e9e12b68271d7"/>
    <w:p>
      <w:pPr>
        <w:pStyle w:val="Heading2"/>
      </w:pPr>
      <w:r>
        <w:t xml:space="preserve">4. Customer Insights: Auckland Community Engagement</w:t>
      </w:r>
    </w:p>
    <w:p>
      <w:pPr>
        <w:pStyle w:val="FirstParagraph"/>
      </w:pPr>
      <w:r>
        <w:t xml:space="preserve">Our sales data reveals deepening customer relationships within New Zealand Auckland. The chemist achieved 83% customer retention rate through our 'Pharmacy First' initiative, which includes free blood pressure checks and medication reviews at the Auckland location. 72% of customers reported using the store's online prescription service – a 50% increase from Q1, indicating strong adoption of digital health services in metropolitan New Zealand.</w:t>
      </w:r>
    </w:p>
    <w:p>
      <w:pPr>
        <w:pStyle w:val="BodyText"/>
      </w:pPr>
      <w:r>
        <w:t xml:space="preserve">Demographic analysis shows our Auckland chemist successfully serves diverse communities: 38% Maori and Pasifika customers (vs. national average of 29%), with tailored health education sessions held in both English and Te Reo Māori at the pharmacy. The 'Auckland Health Walk-In' program, offering extended hours on weekends, generated $187,400 in additional sales – proving community-focused service models drive commercial success in New Zealand's urban centers.</w:t>
      </w:r>
    </w:p>
    <w:bookmarkEnd w:id="23"/>
    <w:bookmarkStart w:id="24" w:name="challenges-strategic-opportunities"/>
    <w:p>
      <w:pPr>
        <w:pStyle w:val="Heading2"/>
      </w:pPr>
      <w:r>
        <w:t xml:space="preserve">5. Challenges &amp; Strategic Opportunities</w:t>
      </w:r>
    </w:p>
    <w:p>
      <w:pPr>
        <w:pStyle w:val="FirstParagraph"/>
      </w:pPr>
      <w:r>
        <w:t xml:space="preserve">Despite strong performance, the Auckland chemist faced sector-wide challenges including 12% import cost increases for pharmaceuticals and temporary supply shortages of certain NZ-sourced herbal products. However, our local supplier partnerships (including several South Auckland-based wellness brands) mitigated these impacts effectively.</w:t>
      </w:r>
    </w:p>
    <w:p>
      <w:pPr>
        <w:pStyle w:val="BodyText"/>
      </w:pPr>
      <w:r>
        <w:t xml:space="preserve">Key opportunities identified for growth include:</w:t>
      </w:r>
    </w:p>
    <w:p>
      <w:pPr>
        <w:numPr>
          <w:ilvl w:val="0"/>
          <w:numId w:val="1002"/>
        </w:numPr>
        <w:pStyle w:val="Compact"/>
      </w:pPr>
      <w:r>
        <w:rPr>
          <w:bCs/>
          <w:b/>
        </w:rPr>
        <w:t xml:space="preserve">Expanding Telehealth Integration:</w:t>
      </w:r>
      <w:r>
        <w:t xml:space="preserve"> </w:t>
      </w:r>
      <w:r>
        <w:t xml:space="preserve">Partnering with Auckland's new primary health organizations to offer virtual consultations at the chemist location</w:t>
      </w:r>
    </w:p>
    <w:p>
      <w:pPr>
        <w:numPr>
          <w:ilvl w:val="0"/>
          <w:numId w:val="1002"/>
        </w:numPr>
        <w:pStyle w:val="Compact"/>
      </w:pPr>
      <w:r>
        <w:rPr>
          <w:bCs/>
          <w:b/>
        </w:rPr>
        <w:t xml:space="preserve">NZ-Specific Product Development:</w:t>
      </w:r>
      <w:r>
        <w:t xml:space="preserve"> </w:t>
      </w:r>
      <w:r>
        <w:t xml:space="preserve">Co-creating a line of locally grown medicinal plants (e.g., manuka honey-infused products) with Northland growers</w:t>
      </w:r>
    </w:p>
    <w:bookmarkEnd w:id="24"/>
    <w:bookmarkStart w:id="26" w:name="conclusion-future-outlook"/>
    <w:p>
      <w:pPr>
        <w:pStyle w:val="Heading2"/>
      </w:pPr>
      <w:r>
        <w:t xml:space="preserve">6. Conclusion &amp; Future Outlook</w:t>
      </w:r>
    </w:p>
    <w:p>
      <w:pPr>
        <w:pStyle w:val="FirstParagraph"/>
      </w:pPr>
      <w:r>
        <w:t xml:space="preserve">This Sales Report confirms our Auckland chemist as a high-performing community health hub that successfully balances commercial success with New Zealand's unique healthcare needs. The 18.7% growth demonstrates the viability of our customer-centric model in metropolitan New Zealand – where personalized care and local relevance drive exceptional results.</w:t>
      </w:r>
    </w:p>
    <w:p>
      <w:pPr>
        <w:pStyle w:val="BodyText"/>
      </w:pPr>
      <w:r>
        <w:t xml:space="preserve">Looking ahead, we recommend prioritizing the 'Auckland Wellness Ecosystem' initiative: developing a network of local health partners to create seamless care pathways. This aligns with both Ministry of Health priorities and Auckland's community health infrastructure development plans. As the largest chemist in New Zealand Auckland, we're positioned not just to meet but shape the future of accessible healthcare in this dynamic city.</w:t>
      </w:r>
    </w:p>
    <w:p>
      <w:pPr>
        <w:pStyle w:val="BodyText"/>
      </w:pPr>
      <w:r>
        <w:t xml:space="preserve">Our continued success will depend on deepening our integration within New Zealand's primary healthcare system while maintaining the trusted local character that makes our Auckland chemist a community cornerstone. The data clearly shows that when pharmacy services are tailored to specific regional needs – as demonstrated by our Q3 performance – both patient outcomes and business results significantly improve.</w:t>
      </w:r>
    </w:p>
    <w:p>
      <w:pPr>
        <w:pStyle w:val="BodyText"/>
      </w:pPr>
      <w:r>
        <w:rPr>
          <w:bCs/>
          <w:b/>
        </w:rPr>
        <w:t xml:space="preserve">Recommendation:</w:t>
      </w:r>
      <w:r>
        <w:t xml:space="preserve"> </w:t>
      </w:r>
      <w:r>
        <w:t xml:space="preserve">Approve $250,000 investment for expanding telehealth capabilities at the Auckland chemist location, with expected ROI within 14 months through increased repeat customer visits and expanded service offerings.</w:t>
      </w:r>
    </w:p>
    <w:bookmarkStart w:id="25" w:name="appendix-key-performance-indicators"/>
    <w:p>
      <w:pPr>
        <w:pStyle w:val="Heading3"/>
      </w:pPr>
      <w:r>
        <w:t xml:space="preserve">Appendix: 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w:t>
      </w:r>
    </w:p>
    <w:p>
      <w:pPr>
        <w:pStyle w:val="BodyText"/>
      </w:pPr>
      <w:r>
        <w:t xml:space="preserve">$1,428,500</w:t>
      </w:r>
    </w:p>
    <w:p>
      <w:pPr>
        <w:pStyle w:val="BodyText"/>
      </w:pPr>
      <w:r>
        <w:t xml:space="preserve">$1,199,800</w:t>
      </w:r>
    </w:p>
    <w:p>
      <w:pPr>
        <w:pStyle w:val="BodyText"/>
      </w:pPr>
      <w:r>
        <w:t xml:space="preserve">+18.7%</w:t>
      </w:r>
    </w:p>
    <w:p>
      <w:pPr>
        <w:pStyle w:val="BodyText"/>
      </w:pPr>
      <w:r>
        <w:t xml:space="preserve">Avg. Transaction Value</w:t>
      </w:r>
    </w:p>
    <w:p>
      <w:pPr>
        <w:pStyle w:val="BodyText"/>
      </w:pPr>
      <w:r>
        <w:t xml:space="preserve">$62.35</w:t>
      </w:r>
    </w:p>
    <w:p>
      <w:pPr>
        <w:pStyle w:val="BodyText"/>
      </w:pPr>
      <w:r>
        <w:t xml:space="preserve">$53.94</w:t>
      </w:r>
    </w:p>
    <w:p>
      <w:pPr>
        <w:pStyle w:val="BodyText"/>
      </w:pPr>
      <w:r>
        <w:t xml:space="preserve">d&gt;+15.6%d&gt;</w:t>
      </w:r>
    </w:p>
    <w:p>
      <w:pPr>
        <w:pStyle w:val="BodyText"/>
      </w:pPr>
      <w:r>
        <w:t xml:space="preserve">Customer Retention Rate</w:t>
      </w:r>
    </w:p>
    <w:p>
      <w:pPr>
        <w:pStyle w:val="BodyText"/>
      </w:pPr>
      <w:r>
        <w:t xml:space="preserve">83%</w:t>
      </w:r>
    </w:p>
    <w:p>
      <w:pPr>
        <w:pStyle w:val="BodyText"/>
      </w:pPr>
      <w:r>
        <w:t xml:space="preserve">78%</w:t>
      </w:r>
    </w:p>
    <w:p>
      <w:pPr>
        <w:pStyle w:val="BodyText"/>
      </w:pPr>
      <w:r>
        <w:t xml:space="preserve">+5 points</w:t>
      </w:r>
    </w:p>
    <w:p>
      <w:pPr>
        <w:pStyle w:val="BodyText"/>
      </w:pPr>
      <w:r>
        <w:t xml:space="preserve">Digital Prescription Usage</w:t>
      </w:r>
    </w:p>
    <w:p>
      <w:pPr>
        <w:pStyle w:val="BodyText"/>
      </w:pPr>
      <w:r>
        <w:t xml:space="preserve">68.4%t</w:t>
      </w:r>
    </w:p>
    <w:p>
      <w:pPr>
        <w:pStyle w:val="BodyText"/>
      </w:pPr>
      <w:r>
        <w:t xml:space="preserve">45.6%d</w:t>
      </w:r>
    </w:p>
    <w:p>
      <w:pPr>
        <w:pStyle w:val="BodyText"/>
      </w:pPr>
      <w:r>
        <w:t xml:space="preserve">+22.8 ptsd&gt;</w:t>
      </w:r>
    </w:p>
    <w:p>
      <w:pPr>
        <w:pStyle w:val="BodyText"/>
      </w:pPr>
      <w:r>
        <w:rPr>
          <w:bCs/>
          <w:b/>
        </w:rPr>
        <w:t xml:space="preserve">Report Word Count:</w:t>
      </w:r>
      <w:r>
        <w:t xml:space="preserve"> </w:t>
      </w:r>
      <w:r>
        <w:t xml:space="preserve">912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Sales Report - Auckland, New Zealand</dc:title>
  <dc:creator/>
  <dc:language>en</dc:language>
  <cp:keywords/>
  <dcterms:created xsi:type="dcterms:W3CDTF">2025-12-11T04:03:57Z</dcterms:created>
  <dcterms:modified xsi:type="dcterms:W3CDTF">2025-12-11T04:03:57Z</dcterms:modified>
</cp:coreProperties>
</file>

<file path=docProps/custom.xml><?xml version="1.0" encoding="utf-8"?>
<Properties xmlns="http://schemas.openxmlformats.org/officeDocument/2006/custom-properties" xmlns:vt="http://schemas.openxmlformats.org/officeDocument/2006/docPropsVTypes"/>
</file>