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Business</w:t>
      </w:r>
      <w:r>
        <w:t xml:space="preserve"> </w:t>
      </w:r>
      <w:r>
        <w:t xml:space="preserve">Performance</w:t>
      </w:r>
      <w:r>
        <w:t xml:space="preserve"> </w:t>
      </w:r>
      <w:r>
        <w:t xml:space="preserve">in</w:t>
      </w:r>
      <w:r>
        <w:t xml:space="preserve"> </w:t>
      </w:r>
      <w:r>
        <w:t xml:space="preserve">Peru</w:t>
      </w:r>
      <w:r>
        <w:t xml:space="preserve"> </w:t>
      </w:r>
      <w:r>
        <w:t xml:space="preserve">Lima</w:t>
      </w:r>
    </w:p>
    <w:bookmarkStart w:id="29" w:name="X39c26458a66fc15523c5216d84701ebcda19430"/>
    <w:p>
      <w:pPr>
        <w:pStyle w:val="Heading1"/>
      </w:pPr>
      <w:r>
        <w:t xml:space="preserve">Sales Report: Comprehensive Analysis of Chemist Operations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Peruvian Pharmaceutical Distribution Network</w:t>
      </w:r>
      <w:r>
        <w:br/>
      </w:r>
      <w:r>
        <w:rPr>
          <w:bCs/>
          <w:b/>
        </w:rPr>
        <w:t xml:space="preserve">Reporting Period:</w:t>
      </w:r>
      <w:r>
        <w:t xml:space="preserve"> </w:t>
      </w:r>
      <w:r>
        <w:t xml:space="preserve">July 1 - September 30, 2023</w:t>
      </w:r>
      <w:r>
        <w:br/>
      </w:r>
      <w:r>
        <w:rPr>
          <w:bCs/>
          <w:b/>
        </w:rPr>
        <w:t xml:space="preserve">Location:</w:t>
      </w:r>
      <w:r>
        <w:t xml:space="preserve"> </w:t>
      </w:r>
      <w:r>
        <w:t xml:space="preserve">Lima Metropolitan Area, Peru</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our Chemist business within Peru Lima during the third quarter of 2023. The report confirms robust growth trajectory across all key metrics, with total sales reaching Peruvian Soles (PEN) 18.7 million – a 14.3% year-over-year increase reflecting strong market positioning in one of South America's most dynamic pharmaceutical hubs. As the premier Chemist franchise serving Lima's urban centers, our strategic focus on customer-centric healthcare solutions has driven exceptional performance in a competitive marketplace.</w:t>
      </w:r>
    </w:p>
    <w:bookmarkEnd w:id="20"/>
    <w:bookmarkStart w:id="23" w:name="ii.-sales-performance-breakdown"/>
    <w:p>
      <w:pPr>
        <w:pStyle w:val="Heading2"/>
      </w:pPr>
      <w:r>
        <w:t xml:space="preserve">II. Sales Performance Breakdown</w:t>
      </w:r>
    </w:p>
    <w:bookmarkStart w:id="21" w:name="a.-revenue-analysis"/>
    <w:p>
      <w:pPr>
        <w:pStyle w:val="Heading3"/>
      </w:pPr>
      <w:r>
        <w:t xml:space="preserve">A. Revenue Analysis</w:t>
      </w:r>
    </w:p>
    <w:p>
      <w:pPr>
        <w:pStyle w:val="FirstParagraph"/>
      </w:pPr>
      <w:r>
        <w:t xml:space="preserve">The Peru Lima Chemist network achieved total sales of PEN 18,750,400 (USD $5.1M) across 42 strategically located stores in the capital region. This represents:</w:t>
      </w:r>
    </w:p>
    <w:p>
      <w:pPr>
        <w:numPr>
          <w:ilvl w:val="0"/>
          <w:numId w:val="1001"/>
        </w:numPr>
        <w:pStyle w:val="Compact"/>
      </w:pPr>
      <w:r>
        <w:rPr>
          <w:bCs/>
          <w:b/>
        </w:rPr>
        <w:t xml:space="preserve">Category Growth:</w:t>
      </w:r>
      <w:r>
        <w:t xml:space="preserve"> </w:t>
      </w:r>
      <w:r>
        <w:t xml:space="preserve">Pharmaceutical segment (+17.2%), Personal Care (+9.8%), Health Supplements (+23.5%)</w:t>
      </w:r>
    </w:p>
    <w:p>
      <w:pPr>
        <w:numPr>
          <w:ilvl w:val="0"/>
          <w:numId w:val="1001"/>
        </w:numPr>
        <w:pStyle w:val="Compact"/>
      </w:pPr>
      <w:r>
        <w:rPr>
          <w:bCs/>
          <w:b/>
        </w:rPr>
        <w:t xml:space="preserve">Channel Performance:</w:t>
      </w:r>
      <w:r>
        <w:t xml:space="preserve"> </w:t>
      </w:r>
      <w:r>
        <w:t xml:space="preserve">In-store sales (68%), Online prescriptions (24%), Home delivery (8%)</w:t>
      </w:r>
    </w:p>
    <w:p>
      <w:pPr>
        <w:numPr>
          <w:ilvl w:val="0"/>
          <w:numId w:val="1001"/>
        </w:numPr>
        <w:pStyle w:val="Compact"/>
      </w:pPr>
      <w:r>
        <w:rPr>
          <w:bCs/>
          <w:b/>
        </w:rPr>
        <w:t xml:space="preserve">Daily Average Transaction Value:</w:t>
      </w:r>
      <w:r>
        <w:t xml:space="preserve"> </w:t>
      </w:r>
      <w:r>
        <w:t xml:space="preserve">PEN 145.30 – 12.7% above Lima regional average</w:t>
      </w:r>
    </w:p>
    <w:bookmarkEnd w:id="21"/>
    <w:bookmarkStart w:id="22" w:name="Xa0eaeae80209497ed0828923ef60637bb29992c"/>
    <w:p>
      <w:pPr>
        <w:pStyle w:val="Heading3"/>
      </w:pPr>
      <w:r>
        <w:t xml:space="preserve">B. Top-Performing Product Categories in Peru Lima Market</w:t>
      </w:r>
    </w:p>
    <w:p>
      <w:pPr>
        <w:pStyle w:val="FirstParagraph"/>
      </w:pPr>
      <w:r>
        <w:t xml:space="preserve">Product Category</w:t>
      </w:r>
    </w:p>
    <w:p>
      <w:pPr>
        <w:pStyle w:val="BodyText"/>
      </w:pPr>
      <w:r>
        <w:t xml:space="preserve">Sales (PEN)</w:t>
      </w:r>
    </w:p>
    <w:p>
      <w:pPr>
        <w:pStyle w:val="BodyText"/>
      </w:pPr>
      <w:r>
        <w:t xml:space="preserve">YoY Growth</w:t>
      </w:r>
    </w:p>
    <w:p>
      <w:pPr>
        <w:pStyle w:val="BodyText"/>
      </w:pPr>
      <w:r>
        <w:t xml:space="preserve">Metric Significance in Peru Lima Context</w:t>
      </w:r>
    </w:p>
    <w:p>
      <w:pPr>
        <w:pStyle w:val="BodyText"/>
      </w:pPr>
      <w:r>
        <w:t xml:space="preserve">Prescription Pharmaceuticals (Analgesics, Antihypertensives)</w:t>
      </w:r>
    </w:p>
    <w:p>
      <w:pPr>
        <w:pStyle w:val="BodyText"/>
      </w:pPr>
      <w:r>
        <w:t xml:space="preserve">8,215,000</w:t>
      </w:r>
    </w:p>
    <w:p>
      <w:pPr>
        <w:pStyle w:val="BodyText"/>
      </w:pPr>
      <w:r>
        <w:t xml:space="preserve">+18.9%</w:t>
      </w:r>
    </w:p>
    <w:p>
      <w:pPr>
        <w:pStyle w:val="BodyText"/>
      </w:pPr>
      <w:r>
        <w:t xml:space="preserve">Driven by Peru's aging population and national healthcare initiatives in Lima</w:t>
      </w:r>
    </w:p>
    <w:p>
      <w:pPr>
        <w:pStyle w:val="BodyText"/>
      </w:pPr>
      <w:r>
        <w:t xml:space="preserve">OTC Health Supplements (Vitamins, Probiotics)</w:t>
      </w:r>
    </w:p>
    <w:p>
      <w:pPr>
        <w:pStyle w:val="BodyText"/>
      </w:pPr>
      <w:r>
        <w:t xml:space="preserve">4,357,200</w:t>
      </w:r>
    </w:p>
    <w:p>
      <w:pPr>
        <w:pStyle w:val="BodyText"/>
      </w:pPr>
      <w:r>
        <w:t xml:space="preserve">+26.1%</w:t>
      </w:r>
    </w:p>
    <w:p>
      <w:pPr>
        <w:pStyle w:val="BodyText"/>
      </w:pPr>
      <w:r>
        <w:rPr>
          <w:bCs/>
          <w:b/>
        </w:rPr>
        <w:t xml:space="preserve">Mirrors Peru's rising health consciousness post-pandemic</w:t>
      </w:r>
    </w:p>
    <w:p>
      <w:pPr>
        <w:pStyle w:val="BodyText"/>
      </w:pPr>
      <w:r>
        <w:t xml:space="preserve">Cosmetic &amp; Dermatology Products</w:t>
      </w:r>
    </w:p>
    <w:p>
      <w:pPr>
        <w:pStyle w:val="BodyText"/>
      </w:pPr>
      <w:r>
        <w:t xml:space="preserve">3,189,400</w:t>
      </w:r>
    </w:p>
    <w:p>
      <w:pPr>
        <w:pStyle w:val="BodyText"/>
      </w:pPr>
      <w:r>
        <w:t xml:space="preserve">+8.7%</w:t>
      </w:r>
    </w:p>
    <w:p>
      <w:pPr>
        <w:pStyle w:val="BodyText"/>
      </w:pPr>
      <w:r>
        <w:t xml:space="preserve">Strong demand in Lima's affluent districts (Lince, Miraflores)</w:t>
      </w:r>
    </w:p>
    <w:p>
      <w:pPr>
        <w:pStyle w:val="BodyText"/>
      </w:pPr>
      <w:r>
        <w:t xml:space="preserve">Medical Devices (Glucose Meters, Blood Pressure Monitors)</w:t>
      </w:r>
    </w:p>
    <w:p>
      <w:pPr>
        <w:pStyle w:val="BodyText"/>
      </w:pPr>
      <w:r>
        <w:t xml:space="preserve">2,632,500</w:t>
      </w:r>
    </w:p>
    <w:p>
      <w:pPr>
        <w:pStyle w:val="BodyText"/>
      </w:pPr>
      <w:r>
        <w:t xml:space="preserve">+14.3%</w:t>
      </w:r>
    </w:p>
    <w:p>
      <w:pPr>
        <w:pStyle w:val="BodyText"/>
      </w:pPr>
      <w:r>
        <w:t xml:space="preserve">Growth fueled by government's 'Salud 2030' initiative in Lima</w:t>
      </w:r>
    </w:p>
    <w:bookmarkEnd w:id="22"/>
    <w:bookmarkEnd w:id="23"/>
    <w:bookmarkStart w:id="24" w:name="iii.-market-positioning-in-peru-lima"/>
    <w:p>
      <w:pPr>
        <w:pStyle w:val="Heading2"/>
      </w:pPr>
      <w:r>
        <w:t xml:space="preserve">III. Market Positioning in Peru Lima</w:t>
      </w:r>
    </w:p>
    <w:p>
      <w:pPr>
        <w:pStyle w:val="FirstParagraph"/>
      </w:pPr>
      <w:r>
        <w:t xml:space="preserve">Our Chemist business has solidified its leadership position within Peru's most competitive pharmaceutical market through strategic localization. The Sales Report reveals that our Lima presence captures 18.7% of the metropolitan pharmacy market share – exceeding industry averages by 4.3 percentage points due to three key advantages:</w:t>
      </w:r>
    </w:p>
    <w:p>
      <w:pPr>
        <w:numPr>
          <w:ilvl w:val="0"/>
          <w:numId w:val="1002"/>
        </w:numPr>
        <w:pStyle w:val="Compact"/>
      </w:pPr>
      <w:r>
        <w:rPr>
          <w:bCs/>
          <w:b/>
        </w:rPr>
        <w:t xml:space="preserve">Hyper-Localized Product Assortment:</w:t>
      </w:r>
      <w:r>
        <w:t xml:space="preserve"> </w:t>
      </w:r>
      <w:r>
        <w:t xml:space="preserve">We maintain 23% higher stock levels of region-specific medications (e.g., anti-malarials for coastal areas, respiratory treatments for urban air quality zones) compared to competitors in Peru Lima.</w:t>
      </w:r>
    </w:p>
    <w:p>
      <w:pPr>
        <w:numPr>
          <w:ilvl w:val="0"/>
          <w:numId w:val="1002"/>
        </w:numPr>
        <w:pStyle w:val="Compact"/>
      </w:pPr>
      <w:r>
        <w:rPr>
          <w:bCs/>
          <w:b/>
        </w:rPr>
        <w:t xml:space="preserve">Digital Integration:</w:t>
      </w:r>
      <w:r>
        <w:t xml:space="preserve"> </w:t>
      </w:r>
      <w:r>
        <w:t xml:space="preserve">Our mobile app for prescription refills, serving 65% of Lima customers, reduced transaction time by 37% and increased repeat visits by 29% – a critical differentiator in Peru's tech-savvy capital.</w:t>
      </w:r>
    </w:p>
    <w:p>
      <w:pPr>
        <w:numPr>
          <w:ilvl w:val="0"/>
          <w:numId w:val="1002"/>
        </w:numPr>
        <w:pStyle w:val="Compact"/>
      </w:pPr>
      <w:r>
        <w:rPr>
          <w:bCs/>
          <w:b/>
        </w:rPr>
        <w:t xml:space="preserve">Community Health Partnerships:</w:t>
      </w:r>
      <w:r>
        <w:t xml:space="preserve"> </w:t>
      </w:r>
      <w:r>
        <w:t xml:space="preserve">Collaborations with 120+ local clinics across Lima for health screenings have generated 45,000 new customer touchpoints during the reporting period.</w:t>
      </w:r>
    </w:p>
    <w:bookmarkEnd w:id="24"/>
    <w:bookmarkStart w:id="25" w:name="X862744f223a0cc93fb926ef30613da53a6018f9"/>
    <w:p>
      <w:pPr>
        <w:pStyle w:val="Heading2"/>
      </w:pPr>
      <w:r>
        <w:t xml:space="preserve">IV. Competitive Landscape Analysis (Peru Lima Focus)</w:t>
      </w:r>
    </w:p>
    <w:p>
      <w:pPr>
        <w:pStyle w:val="FirstParagraph"/>
      </w:pPr>
      <w:r>
        <w:t xml:space="preserve">The Sales Report identifies intensified competition from both national chains and independent pharmacies in Peru Lima. However, our Chemist business has outperformed:</w:t>
      </w:r>
    </w:p>
    <w:p>
      <w:pPr>
        <w:numPr>
          <w:ilvl w:val="0"/>
          <w:numId w:val="1003"/>
        </w:numPr>
        <w:pStyle w:val="Compact"/>
      </w:pPr>
      <w:r>
        <w:rPr>
          <w:bCs/>
          <w:b/>
        </w:rPr>
        <w:t xml:space="preserve">Competitor A:</w:t>
      </w:r>
      <w:r>
        <w:t xml:space="preserve"> </w:t>
      </w:r>
      <w:r>
        <w:t xml:space="preserve">9.3% sales growth (vs. our 14.3%) – weak digital strategy</w:t>
      </w:r>
    </w:p>
    <w:p>
      <w:pPr>
        <w:numPr>
          <w:ilvl w:val="0"/>
          <w:numId w:val="1003"/>
        </w:numPr>
        <w:pStyle w:val="Compact"/>
      </w:pPr>
      <w:r>
        <w:rPr>
          <w:bCs/>
          <w:b/>
        </w:rPr>
        <w:t xml:space="preserve">Competitor B:</w:t>
      </w:r>
      <w:r>
        <w:t xml:space="preserve"> </w:t>
      </w:r>
      <w:r>
        <w:t xml:space="preserve">-2.1% year-over-year decline (due to inventory mismanagement in Lima's high-demand zones)</w:t>
      </w:r>
    </w:p>
    <w:p>
      <w:pPr>
        <w:numPr>
          <w:ilvl w:val="0"/>
          <w:numId w:val="1003"/>
        </w:numPr>
        <w:pStyle w:val="Compact"/>
      </w:pPr>
      <w:r>
        <w:rPr>
          <w:bCs/>
          <w:b/>
        </w:rPr>
        <w:t xml:space="preserve">Independent Pharmacies:</w:t>
      </w:r>
      <w:r>
        <w:t xml:space="preserve"> </w:t>
      </w:r>
      <w:r>
        <w:t xml:space="preserve">Average 5.8% growth – unable to match our supply chain efficiency for Peru Lima operations</w:t>
      </w:r>
    </w:p>
    <w:p>
      <w:pPr>
        <w:pStyle w:val="FirstParagraph"/>
      </w:pPr>
      <w:r>
        <w:t xml:space="preserve">This competitive edge stems from our investment in a dedicated Lima-based distribution center serving all Chemist locations, reducing delivery times from 48 to 12 hours – a decisive factor for pharmacies operating in Peru's congested urban environment.</w:t>
      </w:r>
    </w:p>
    <w:bookmarkEnd w:id="25"/>
    <w:bookmarkStart w:id="26" w:name="v.-challenges-strategic-opportunities"/>
    <w:p>
      <w:pPr>
        <w:pStyle w:val="Heading2"/>
      </w:pPr>
      <w:r>
        <w:t xml:space="preserve">V. Challenges &amp; Strategic Opportunities</w:t>
      </w:r>
    </w:p>
    <w:p>
      <w:pPr>
        <w:pStyle w:val="FirstParagraph"/>
      </w:pPr>
      <w:r>
        <w:rPr>
          <w:bCs/>
          <w:b/>
        </w:rPr>
        <w:t xml:space="preserve">Key Challenges Identified:</w:t>
      </w:r>
    </w:p>
    <w:p>
      <w:pPr>
        <w:numPr>
          <w:ilvl w:val="0"/>
          <w:numId w:val="1004"/>
        </w:numPr>
        <w:pStyle w:val="Compact"/>
      </w:pPr>
      <w:r>
        <w:t xml:space="preserve">Regulatory complexity in Peru Lima (Peruvian Health Authority requirements increased 17% year-over-year)</w:t>
      </w:r>
    </w:p>
    <w:p>
      <w:pPr>
        <w:numPr>
          <w:ilvl w:val="0"/>
          <w:numId w:val="1004"/>
        </w:numPr>
        <w:pStyle w:val="Compact"/>
      </w:pPr>
      <w:r>
        <w:t xml:space="preserve">Rising costs of essential medications due to global supply chain disruptions</w:t>
      </w:r>
    </w:p>
    <w:p>
      <w:pPr>
        <w:numPr>
          <w:ilvl w:val="0"/>
          <w:numId w:val="1004"/>
        </w:numPr>
        <w:pStyle w:val="Compact"/>
      </w:pPr>
      <w:r>
        <w:t xml:space="preserve">Competition from unregulated online pharmacies targeting Lima's youth demographic</w:t>
      </w:r>
    </w:p>
    <w:p>
      <w:pPr>
        <w:pStyle w:val="FirstParagraph"/>
      </w:pPr>
      <w:r>
        <w:rPr>
          <w:bCs/>
          <w:b/>
        </w:rPr>
        <w:t xml:space="preserve">Strategic Opportunities for Future Growth:</w:t>
      </w:r>
    </w:p>
    <w:p>
      <w:pPr>
        <w:numPr>
          <w:ilvl w:val="0"/>
          <w:numId w:val="1005"/>
        </w:numPr>
        <w:pStyle w:val="Compact"/>
      </w:pPr>
      <w:r>
        <w:rPr>
          <w:bCs/>
          <w:b/>
        </w:rPr>
        <w:t xml:space="preserve">Lima's Healthcare Expansion:</w:t>
      </w:r>
      <w:r>
        <w:t xml:space="preserve"> </w:t>
      </w:r>
      <w:r>
        <w:t xml:space="preserve">Capitalizing on Peru's national health insurance expansion (SIS) to onboard 20,000 new patients through our Chemist network in Q1 2024.</w:t>
      </w:r>
    </w:p>
    <w:p>
      <w:pPr>
        <w:numPr>
          <w:ilvl w:val="0"/>
          <w:numId w:val="1005"/>
        </w:numPr>
        <w:pStyle w:val="Compact"/>
      </w:pPr>
      <w:r>
        <w:rPr>
          <w:bCs/>
          <w:b/>
        </w:rPr>
        <w:t xml:space="preserve">Digital Health Integration:</w:t>
      </w:r>
      <w:r>
        <w:t xml:space="preserve"> </w:t>
      </w:r>
      <w:r>
        <w:t xml:space="preserve">Developing a telemedicine partnership with Lima's Hospital Nacional Edgardo Rebagliati Martins – projected to drive 35% new prescription volume.</w:t>
      </w:r>
    </w:p>
    <w:p>
      <w:pPr>
        <w:numPr>
          <w:ilvl w:val="0"/>
          <w:numId w:val="1005"/>
        </w:numPr>
        <w:pStyle w:val="Compact"/>
      </w:pPr>
      <w:r>
        <w:rPr>
          <w:bCs/>
          <w:b/>
        </w:rPr>
        <w:t xml:space="preserve">Sustainable Product Line:</w:t>
      </w:r>
      <w:r>
        <w:t xml:space="preserve"> </w:t>
      </w:r>
      <w:r>
        <w:t xml:space="preserve">Launching eco-friendly packaging for Peru Lima stores, responding to growing environmental consciousness in coastal communities.</w:t>
      </w:r>
    </w:p>
    <w:bookmarkEnd w:id="26"/>
    <w:bookmarkStart w:id="27" w:name="Xd3e83edcbf6e848241a6607bcb69b4868301025"/>
    <w:p>
      <w:pPr>
        <w:pStyle w:val="Heading2"/>
      </w:pPr>
      <w:r>
        <w:t xml:space="preserve">VI. Conclusion: The Future of Chemist Operations in Peru Lima</w:t>
      </w:r>
    </w:p>
    <w:p>
      <w:pPr>
        <w:pStyle w:val="FirstParagraph"/>
      </w:pPr>
      <w:r>
        <w:t xml:space="preserve">The Sales Report confirms that our Chemist business has established unassailable market leadership in Peru Lima through data-driven localization and community-centric healthcare delivery. With 83% of customers rating our service "excellent" in Lima-specific satisfaction surveys, we are positioned to capitalize on Peru's projected pharmaceutical market growth (12.4% CAGR through 2027) with a proven operational model.</w:t>
      </w:r>
    </w:p>
    <w:p>
      <w:pPr>
        <w:pStyle w:val="BodyText"/>
      </w:pPr>
      <w:r>
        <w:t xml:space="preserve">For the upcoming quarter, we recommend prioritizing three initiatives: (1) Expanding our digital health services to serve Lima's underserved peripheral districts, (2) Developing specialized medication kits for common Peru Lima health challenges (e.g., altitude sickness remedies), and (3) Implementing AI-driven inventory management to mitigate supply chain volatility. These strategies will further cement our position as the most trusted Chemist provider in the nation's capital.</w:t>
      </w:r>
    </w:p>
    <w:p>
      <w:pPr>
        <w:pStyle w:val="BodyText"/>
      </w:pPr>
      <w:r>
        <w:t xml:space="preserve">As demonstrated throughout this Sales Report, our success in Peru Lima is not merely transactional – it represents a commitment to community health innovation. We are proud to serve as more than just a Chemist; we are an essential healthcare partner for 68% of households across Lima's most diverse neighborhoods.</w:t>
      </w:r>
    </w:p>
    <w:bookmarkEnd w:id="27"/>
    <w:bookmarkStart w:id="28" w:name="X4089ddf72053efb3a5a514298f5aa1bc81d4a2b"/>
    <w:p>
      <w:pPr>
        <w:pStyle w:val="Heading2"/>
      </w:pPr>
      <w:r>
        <w:t xml:space="preserve">VII. Appendix: Key Performance Indicators (Peru Lima)</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Growth</w:t>
      </w:r>
    </w:p>
    <w:p>
      <w:pPr>
        <w:pStyle w:val="BodyText"/>
      </w:pPr>
      <w:r>
        <w:t xml:space="preserve">Total Sales (PEN)</w:t>
      </w:r>
    </w:p>
    <w:p>
      <w:pPr>
        <w:pStyle w:val="BodyText"/>
      </w:pPr>
      <w:r>
        <w:t xml:space="preserve">18,750,400</w:t>
      </w:r>
    </w:p>
    <w:p>
      <w:pPr>
        <w:pStyle w:val="BodyText"/>
      </w:pPr>
      <w:r>
        <w:t xml:space="preserve">16,415,900</w:t>
      </w:r>
    </w:p>
    <w:p>
      <w:pPr>
        <w:pStyle w:val="BodyText"/>
      </w:pPr>
      <w:r>
        <w:t xml:space="preserve">14.3%</w:t>
      </w:r>
    </w:p>
    <w:p>
      <w:pPr>
        <w:pStyle w:val="BodyText"/>
      </w:pPr>
      <w:r>
        <w:t xml:space="preserve">Avg. Transaction Value (PEN)</w:t>
      </w:r>
    </w:p>
    <w:p>
      <w:pPr>
        <w:pStyle w:val="BodyText"/>
      </w:pPr>
      <w:r>
        <w:t xml:space="preserve">145.30</w:t>
      </w:r>
    </w:p>
    <w:p>
      <w:pPr>
        <w:pStyle w:val="BodyText"/>
      </w:pPr>
      <w:r>
        <w:t xml:space="preserve">129.25</w:t>
      </w:r>
    </w:p>
    <w:p>
      <w:pPr>
        <w:pStyle w:val="BodyText"/>
      </w:pPr>
      <w:r>
        <w:t xml:space="preserve">12.7%</w:t>
      </w:r>
    </w:p>
    <w:p>
      <w:pPr>
        <w:pStyle w:val="BodyText"/>
      </w:pPr>
      <w:r>
        <w:t xml:space="preserve">Customer Retention Rate</w:t>
      </w:r>
    </w:p>
    <w:p>
      <w:pPr>
        <w:pStyle w:val="BodyText"/>
      </w:pPr>
      <w:r>
        <w:t xml:space="preserve">76%</w:t>
      </w:r>
    </w:p>
    <w:p>
      <w:pPr>
        <w:pStyle w:val="BodyText"/>
      </w:pPr>
      <w:r>
        <w:t xml:space="preserve">68%</w:t>
      </w:r>
    </w:p>
    <w:p>
      <w:pPr>
        <w:pStyle w:val="BodyText"/>
      </w:pPr>
      <w:r>
        <w:t xml:space="preserve">+8 pts.</w:t>
      </w:r>
    </w:p>
    <w:p>
      <w:pPr>
        <w:pStyle w:val="BodyText"/>
      </w:pPr>
      <w:r>
        <w:t xml:space="preserve">Patient Satisfaction (Lima Specific)</w:t>
      </w:r>
    </w:p>
    <w:p>
      <w:pPr>
        <w:pStyle w:val="BodyText"/>
      </w:pPr>
      <w:r>
        <w:t xml:space="preserve">4.8/5.0</w:t>
      </w:r>
    </w:p>
    <w:p>
      <w:pPr>
        <w:pStyle w:val="BodyText"/>
      </w:pPr>
      <w:r>
        <w:t xml:space="preserve">4.5/5.0</w:t>
      </w:r>
    </w:p>
    <w:p>
      <w:pPr>
        <w:pStyle w:val="BodyText"/>
      </w:pPr>
      <w:r>
        <w:t xml:space="preserve">+0.3</w:t>
      </w:r>
    </w:p>
    <w:p>
      <w:pPr>
        <w:pStyle w:val="BodyText"/>
      </w:pPr>
      <w:r>
        <w:t xml:space="preserve">Digital Engagement Rate</w:t>
      </w:r>
    </w:p>
    <w:p>
      <w:pPr>
        <w:pStyle w:val="BodyText"/>
      </w:pPr>
      <w:r>
        <w:t xml:space="preserve">65%49%</w:t>
      </w:r>
    </w:p>
    <w:p>
      <w:pPr>
        <w:pStyle w:val="BodyText"/>
      </w:pPr>
      <w:r>
        <w:t xml:space="preserve">+16 pts.</w:t>
      </w:r>
    </w:p>
    <w:p>
      <w:pPr>
        <w:pStyle w:val="BodyText"/>
      </w:pPr>
      <w:r>
        <w:rPr>
          <w:iCs/>
          <w:i/>
        </w:rPr>
        <w:t xml:space="preserve">This Sales Report is exclusively for internal use by Chemist management in Peru Lima. All data reflects verified transactions from our Lima-based distribution system (validated by Peruvian Ministry of Health audit protocols).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Business Performance in Peru Lima</dc:title>
  <dc:creator/>
  <dc:language>en</dc:language>
  <cp:keywords/>
  <dcterms:created xsi:type="dcterms:W3CDTF">2025-12-09T04:56:55Z</dcterms:created>
  <dcterms:modified xsi:type="dcterms:W3CDTF">2025-12-09T04:56:55Z</dcterms:modified>
</cp:coreProperties>
</file>

<file path=docProps/custom.xml><?xml version="1.0" encoding="utf-8"?>
<Properties xmlns="http://schemas.openxmlformats.org/officeDocument/2006/custom-properties" xmlns:vt="http://schemas.openxmlformats.org/officeDocument/2006/docPropsVTypes"/>
</file>