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1" w:name="Xecd65d88c686b4312659317915d8994977d054d"/>
    <w:p>
      <w:pPr>
        <w:pStyle w:val="Heading1"/>
      </w:pPr>
      <w:r>
        <w:t xml:space="preserve">Qatar Doha Chemist Sales Performance Report: Q3 2023</w:t>
      </w:r>
    </w:p>
    <w:bookmarkStart w:id="20" w:name="executive-summary"/>
    <w:p>
      <w:pPr>
        <w:pStyle w:val="Heading2"/>
      </w:pPr>
      <w:r>
        <w:t xml:space="preserve">Executive Summary</w:t>
      </w:r>
    </w:p>
    <w:p>
      <w:pPr>
        <w:pStyle w:val="FirstParagraph"/>
      </w:pPr>
      <w:r>
        <w:t xml:space="preserve">This comprehensive Sales Report details the operational performance of our pharmacy chain across key locations in Qatar Doha during the third quarter of 2023. The report highlights significant growth in both prescription and over-the-counter sales, driven by strategic market positioning and alignment with Qatar National Vision 2030 health initiatives. Our Chemist outlets demonstrated a remarkable 18.7% year-over-year revenue increase, solidifying our position as a leading healthcare provider in the Doha metropolitan area.</w:t>
      </w:r>
    </w:p>
    <w:bookmarkEnd w:id="20"/>
    <w:bookmarkStart w:id="21" w:name="Xffa78cd73b9a1f82dd26507a504061bc7cf86d8"/>
    <w:p>
      <w:pPr>
        <w:pStyle w:val="Heading2"/>
      </w:pPr>
      <w:r>
        <w:t xml:space="preserve">Market Context: Qatar Doha Pharmaceutical Landscape</w:t>
      </w:r>
    </w:p>
    <w:p>
      <w:pPr>
        <w:pStyle w:val="FirstParagraph"/>
      </w:pPr>
      <w:r>
        <w:t xml:space="preserve">Doha's pharmaceutical market has experienced robust expansion, fueled by Qatar's rapid urbanization and healthcare infrastructure development. As the capital city of Qatar, Doha serves as the primary hub for medical services in the country, with a population exceeding 1.4 million residents and over 500,000 expatriates requiring consistent pharmacy access. This dynamic environment necessitates specialized retail strategies for any Chemist operating within Qatar Doha's competitive landscape. Our Q3 performance directly correlates with Qatar's government initiatives promoting preventative healthcare and chronic disease management, positioning our Chemist locations as essential community health partners.</w:t>
      </w:r>
    </w:p>
    <w:bookmarkEnd w:id="21"/>
    <w:bookmarkStart w:id="22" w:name="key-sales-performance-metrics-q3-2023"/>
    <w:p>
      <w:pPr>
        <w:pStyle w:val="Heading2"/>
      </w:pPr>
      <w:r>
        <w:t xml:space="preserve">Key Sales Performance Metrics (Q3 2023)</w:t>
      </w:r>
    </w:p>
    <w:p>
      <w:pPr>
        <w:pStyle w:val="FirstParagraph"/>
      </w:pPr>
      <w:r>
        <w:t xml:space="preserve">Performance Indicator</w:t>
      </w:r>
    </w:p>
    <w:p>
      <w:pPr>
        <w:pStyle w:val="BodyText"/>
      </w:pPr>
      <w:r>
        <w:t xml:space="preserve">Q3 2023 Value</w:t>
      </w:r>
    </w:p>
    <w:p>
      <w:pPr>
        <w:pStyle w:val="BodyText"/>
      </w:pPr>
      <w:r>
        <w:t xml:space="preserve">YoY Change</w:t>
      </w:r>
    </w:p>
    <w:p>
      <w:pPr>
        <w:pStyle w:val="BodyText"/>
      </w:pPr>
      <w:r>
        <w:t xml:space="preserve">QoQ Change</w:t>
      </w:r>
    </w:p>
    <w:p>
      <w:pPr>
        <w:pStyle w:val="BodyText"/>
      </w:pPr>
      <w:r>
        <w:t xml:space="preserve">Total Revenue (QR)</w:t>
      </w:r>
    </w:p>
    <w:p>
      <w:pPr>
        <w:pStyle w:val="BodyText"/>
      </w:pPr>
      <w:r>
        <w:t xml:space="preserve">14,850,000</w:t>
      </w:r>
    </w:p>
    <w:p>
      <w:pPr>
        <w:pStyle w:val="BodyText"/>
      </w:pPr>
      <w:r>
        <w:t xml:space="preserve">+18.7%</w:t>
      </w:r>
    </w:p>
    <w:p>
      <w:pPr>
        <w:pStyle w:val="BodyText"/>
      </w:pPr>
      <w:r>
        <w:t xml:space="preserve">+7.2%</w:t>
      </w:r>
    </w:p>
    <w:p>
      <w:pPr>
        <w:pStyle w:val="BodyText"/>
      </w:pPr>
      <w:r>
        <w:t xml:space="preserve">Prescription Sales</w:t>
      </w:r>
    </w:p>
    <w:p>
      <w:pPr>
        <w:pStyle w:val="BodyText"/>
      </w:pPr>
      <w:r>
        <w:t xml:space="preserve">9,265,300</w:t>
      </w:r>
    </w:p>
    <w:p>
      <w:pPr>
        <w:pStyle w:val="BodyText"/>
      </w:pPr>
      <w:r>
        <w:t xml:space="preserve">+21.4%</w:t>
      </w:r>
    </w:p>
    <w:p>
      <w:pPr>
        <w:pStyle w:val="BodyText"/>
      </w:pPr>
      <w:r>
        <w:t xml:space="preserve">+6.8%</w:t>
      </w:r>
    </w:p>
    <w:p>
      <w:pPr>
        <w:pStyle w:val="BodyText"/>
      </w:pPr>
      <w:r>
        <w:t xml:space="preserve">Otc &amp; Wellness Products</w:t>
      </w:r>
    </w:p>
    <w:p>
      <w:pPr>
        <w:pStyle w:val="BodyText"/>
      </w:pPr>
      <w:r>
        <w:t xml:space="preserve">3,875,000</w:t>
      </w:r>
    </w:p>
    <w:p>
      <w:pPr>
        <w:pStyle w:val="BodyText"/>
      </w:pPr>
      <w:r>
        <w:t xml:space="preserve">+15.3%</w:t>
      </w:r>
    </w:p>
    <w:p>
      <w:pPr>
        <w:pStyle w:val="BodyText"/>
      </w:pPr>
      <w:r>
        <w:t xml:space="preserve">+8.5%</w:t>
      </w:r>
    </w:p>
    <w:p>
      <w:pPr>
        <w:pStyle w:val="BodyText"/>
      </w:pPr>
      <w:r>
        <w:t xml:space="preserve">Private Label Products</w:t>
      </w:r>
    </w:p>
    <w:p>
      <w:pPr>
        <w:pStyle w:val="BodyText"/>
      </w:pPr>
      <w:r>
        <w:t xml:space="preserve">1,709,700</w:t>
      </w:r>
    </w:p>
    <w:p>
      <w:pPr>
        <w:pStyle w:val="BodyText"/>
      </w:pPr>
      <w:r>
        <w:t xml:space="preserve">+24.6%</w:t>
      </w:r>
    </w:p>
    <w:p>
      <w:pPr>
        <w:pStyle w:val="BodyText"/>
      </w:pPr>
      <w:r>
        <w:t xml:space="preserve">+12.3%</w:t>
      </w:r>
    </w:p>
    <w:bookmarkEnd w:id="22"/>
    <w:bookmarkStart w:id="26" w:name="Xb1e45aeed705b4c3f90c4e671e83b44d924b1d1"/>
    <w:p>
      <w:pPr>
        <w:pStyle w:val="Heading2"/>
      </w:pPr>
      <w:r>
        <w:t xml:space="preserve">Product Category Analysis: Top Performing Segments in Qatar Doha</w:t>
      </w:r>
    </w:p>
    <w:p>
      <w:pPr>
        <w:pStyle w:val="FirstParagraph"/>
      </w:pPr>
      <w:r>
        <w:t xml:space="preserve">The success of our Chemist outlets is particularly evident in three critical categories:</w:t>
      </w:r>
    </w:p>
    <w:bookmarkStart w:id="23" w:name="X59e671381b1f14decd4e5171233d92d67c4588c"/>
    <w:p>
      <w:pPr>
        <w:pStyle w:val="Heading3"/>
      </w:pPr>
      <w:r>
        <w:t xml:space="preserve">1. Chronic Disease Management (Diabetes &amp; Cardiovascular)</w:t>
      </w:r>
    </w:p>
    <w:p>
      <w:pPr>
        <w:pStyle w:val="FirstParagraph"/>
      </w:pPr>
      <w:r>
        <w:t xml:space="preserve">Demand surged 32% YoY, driven by Qatar's National Diabetes Strategy and increased screening campaigns. Our Doha locations reported exceptional performance with Glucophage (metformin) sales up 41% and atorvastatin prescriptions rising by 29%. The integration of medication synchronization services in our Chemist stores contributed to a 37% increase in patient adherence rates within the Doha market.</w:t>
      </w:r>
    </w:p>
    <w:bookmarkEnd w:id="23"/>
    <w:bookmarkStart w:id="24" w:name="over-the-counter-wellness-products"/>
    <w:p>
      <w:pPr>
        <w:pStyle w:val="Heading3"/>
      </w:pPr>
      <w:r>
        <w:t xml:space="preserve">2. Over-the-Counter Wellness Products</w:t>
      </w:r>
    </w:p>
    <w:p>
      <w:pPr>
        <w:pStyle w:val="FirstParagraph"/>
      </w:pPr>
      <w:r>
        <w:t xml:space="preserve">Antibiotic ointments, vitamins (particularly Vitamin D and C), and immunity boosters dominated sales. Sales increased by 15.3% as Qatar's Ministry of Public Health launched its "Health is Wealth" campaign, positioning our Chemist locations as the primary access point for preventive healthcare products across Doha neighborhoods.</w:t>
      </w:r>
    </w:p>
    <w:bookmarkEnd w:id="24"/>
    <w:bookmarkStart w:id="25" w:name="private-label-pharmacy-brands"/>
    <w:p>
      <w:pPr>
        <w:pStyle w:val="Heading3"/>
      </w:pPr>
      <w:r>
        <w:t xml:space="preserve">3. Private Label Pharmacy Brands</w:t>
      </w:r>
    </w:p>
    <w:p>
      <w:pPr>
        <w:pStyle w:val="FirstParagraph"/>
      </w:pPr>
      <w:r>
        <w:t xml:space="preserve">Our in-house private label line achieved remarkable success with 24% market penetration among all non-prescription sales. The "Qatar Care" skincare range saw 58% YoY growth, while the "Doha Wellness" vitamin line contributed significantly to profitability through premium pricing aligned with local health consciousness trends.</w:t>
      </w:r>
    </w:p>
    <w:bookmarkEnd w:id="25"/>
    <w:bookmarkEnd w:id="26"/>
    <w:bookmarkStart w:id="27" w:name="operational-excellence-in-qatar-doha"/>
    <w:p>
      <w:pPr>
        <w:pStyle w:val="Heading2"/>
      </w:pPr>
      <w:r>
        <w:t xml:space="preserve">Operational Excellence in Qatar Doha</w:t>
      </w:r>
    </w:p>
    <w:p>
      <w:pPr>
        <w:pStyle w:val="FirstParagraph"/>
      </w:pPr>
      <w:r>
        <w:t xml:space="preserve">Our Chemist locations implemented three critical initiatives that directly impacted Q3 performance:</w:t>
      </w:r>
    </w:p>
    <w:p>
      <w:pPr>
        <w:numPr>
          <w:ilvl w:val="0"/>
          <w:numId w:val="1001"/>
        </w:numPr>
        <w:pStyle w:val="Compact"/>
      </w:pPr>
      <w:r>
        <w:rPr>
          <w:bCs/>
          <w:b/>
        </w:rPr>
        <w:t xml:space="preserve">Doha Community Health Partnerships:</w:t>
      </w:r>
      <w:r>
        <w:t xml:space="preserve"> </w:t>
      </w:r>
      <w:r>
        <w:t xml:space="preserve">Collaborations with Hamad Medical Corporation and primary care centers enabled direct prescription flow to our 12 Doha outlets, reducing patient wait times by 40% and increasing prescription fill rates by 26%.</w:t>
      </w:r>
    </w:p>
    <w:p>
      <w:pPr>
        <w:numPr>
          <w:ilvl w:val="0"/>
          <w:numId w:val="1001"/>
        </w:numPr>
        <w:pStyle w:val="Compact"/>
      </w:pPr>
      <w:r>
        <w:rPr>
          <w:bCs/>
          <w:b/>
        </w:rPr>
        <w:t xml:space="preserve">Mobile Pharmacy Services:</w:t>
      </w:r>
      <w:r>
        <w:t xml:space="preserve"> </w:t>
      </w:r>
      <w:r>
        <w:t xml:space="preserve">Launching delivery services for elderly patients across West Bay, Lusail, and Education City resulted in a 33% increase in repeat customers within Doha's high-density residential zones.</w:t>
      </w:r>
    </w:p>
    <w:bookmarkEnd w:id="27"/>
    <w:bookmarkStart w:id="28" w:name="X7d268d288086771b0a8d6b7d43cf48f20ed692d"/>
    <w:p>
      <w:pPr>
        <w:pStyle w:val="Heading2"/>
      </w:pPr>
      <w:r>
        <w:t xml:space="preserve">Challenges Faced in the Qatar Doha Market</w:t>
      </w:r>
    </w:p>
    <w:p>
      <w:pPr>
        <w:pStyle w:val="FirstParagraph"/>
      </w:pPr>
      <w:r>
        <w:t xml:space="preserve">Despite strong performance, our Chemist operations encountered several market-specific challenges:</w:t>
      </w:r>
    </w:p>
    <w:p>
      <w:pPr>
        <w:numPr>
          <w:ilvl w:val="0"/>
          <w:numId w:val="1002"/>
        </w:numPr>
        <w:pStyle w:val="Compact"/>
      </w:pPr>
      <w:r>
        <w:rPr>
          <w:bCs/>
          <w:b/>
        </w:rPr>
        <w:t xml:space="preserve">Regulatory Compliance:</w:t>
      </w:r>
      <w:r>
        <w:t xml:space="preserve"> </w:t>
      </w:r>
      <w:r>
        <w:t xml:space="preserve">Quarterly changes to Qatar's Ministry of Health regulations required immediate product label updates across all 15 Chemist outlets in Doha, causing temporary operational disruptions.</w:t>
      </w:r>
    </w:p>
    <w:p>
      <w:pPr>
        <w:numPr>
          <w:ilvl w:val="0"/>
          <w:numId w:val="1002"/>
        </w:numPr>
        <w:pStyle w:val="Compact"/>
      </w:pPr>
      <w:r>
        <w:rPr>
          <w:bCs/>
          <w:b/>
        </w:rPr>
        <w:t xml:space="preserve">Currency Volatility:</w:t>
      </w:r>
      <w:r>
        <w:t xml:space="preserve"> </w:t>
      </w:r>
      <w:r>
        <w:t xml:space="preserve">Fluctuations in USD-QAR exchange rates impacted import costs for specialty medications, reducing gross margins by 3.2% during July-August despite price adjustments.</w:t>
      </w:r>
    </w:p>
    <w:p>
      <w:pPr>
        <w:numPr>
          <w:ilvl w:val="0"/>
          <w:numId w:val="1002"/>
        </w:numPr>
        <w:pStyle w:val="Compact"/>
      </w:pPr>
      <w:r>
        <w:rPr>
          <w:bCs/>
          <w:b/>
        </w:rPr>
        <w:t xml:space="preserve">Talent Retention:</w:t>
      </w:r>
      <w:r>
        <w:t xml:space="preserve"> </w:t>
      </w:r>
      <w:r>
        <w:t xml:space="preserve">Competition from international pharmacy chains created hiring pressures for pharmacists in Doha, necessitating enhanced training programs to maintain service quality standards across our Chemist locations.</w:t>
      </w:r>
    </w:p>
    <w:bookmarkEnd w:id="28"/>
    <w:bookmarkStart w:id="29" w:name="future-outlook-strategic-recommendations"/>
    <w:p>
      <w:pPr>
        <w:pStyle w:val="Heading2"/>
      </w:pPr>
      <w:r>
        <w:t xml:space="preserve">Future Outlook &amp; Strategic Recommendations</w:t>
      </w:r>
    </w:p>
    <w:p>
      <w:pPr>
        <w:pStyle w:val="FirstParagraph"/>
      </w:pPr>
      <w:r>
        <w:t xml:space="preserve">Leveraging the success of our Q3 performance, we propose the following data-driven strategies for Qatar Doha operations:</w:t>
      </w:r>
    </w:p>
    <w:p>
      <w:pPr>
        <w:numPr>
          <w:ilvl w:val="0"/>
          <w:numId w:val="1003"/>
        </w:numPr>
        <w:pStyle w:val="Compact"/>
      </w:pPr>
      <w:r>
        <w:rPr>
          <w:bCs/>
          <w:b/>
        </w:rPr>
        <w:t xml:space="preserve">Expand Telehealth Integration:</w:t>
      </w:r>
      <w:r>
        <w:t xml:space="preserve"> </w:t>
      </w:r>
      <w:r>
        <w:t xml:space="preserve">Partner with local hospitals to offer virtual consultations through our Chemist app, targeting Doha's 78% smartphone penetration rate for seamless prescription management.</w:t>
      </w:r>
    </w:p>
    <w:p>
      <w:pPr>
        <w:numPr>
          <w:ilvl w:val="0"/>
          <w:numId w:val="1003"/>
        </w:numPr>
        <w:pStyle w:val="Compact"/>
      </w:pPr>
      <w:r>
        <w:rPr>
          <w:bCs/>
          <w:b/>
        </w:rPr>
        <w:t xml:space="preserve">Localized Wellness Clinics:</w:t>
      </w:r>
      <w:r>
        <w:t xml:space="preserve"> </w:t>
      </w:r>
      <w:r>
        <w:t xml:space="preserve">Establish dedicated chronic care clinics within key Chemist locations in Education City and Al Waab, aligning with Qatar's National Health Strategy 2023-2030 to capture high-value patient segments.</w:t>
      </w:r>
    </w:p>
    <w:p>
      <w:pPr>
        <w:numPr>
          <w:ilvl w:val="0"/>
          <w:numId w:val="1003"/>
        </w:numPr>
        <w:pStyle w:val="Compact"/>
      </w:pPr>
      <w:r>
        <w:rPr>
          <w:bCs/>
          <w:b/>
        </w:rPr>
        <w:t xml:space="preserve">Sustainability Initiatives:</w:t>
      </w:r>
      <w:r>
        <w:t xml:space="preserve"> </w:t>
      </w:r>
      <w:r>
        <w:t xml:space="preserve">Implement QR code tracking for pharmaceutical waste reduction across Doha, supporting Qatar's Environmental Vision 2030 while enhancing brand reputation in the chemist market.</w:t>
      </w:r>
    </w:p>
    <w:bookmarkEnd w:id="29"/>
    <w:bookmarkStart w:id="30" w:name="conclusion"/>
    <w:p>
      <w:pPr>
        <w:pStyle w:val="Heading2"/>
      </w:pPr>
      <w:r>
        <w:t xml:space="preserve">Conclusion</w:t>
      </w:r>
    </w:p>
    <w:p>
      <w:pPr>
        <w:pStyle w:val="FirstParagraph"/>
      </w:pPr>
      <w:r>
        <w:t xml:space="preserve">This Q3 2023 Sales Report confirms that our Chemist business model is perfectly aligned with Qatar Doha's evolving healthcare demands. The strategic focus on community health partnerships, technology integration, and localized product offerings has positioned us as a vital healthcare provider in the capital city. With an 18.7% revenue growth trajectory and deepening market penetration across Doha neighborhoods, we are confident that our Chemist outlets will continue to exceed performance targets while contributing to Qatar's broader public health objectives. The coming quarter will focus on scaling telehealth services and expanding wellness clinics within Qatar Doha's most underserved communities, ensuring sustainable growth that benefits both patients and the pharmacy chain.</w:t>
      </w:r>
    </w:p>
    <w:p>
      <w:pPr>
        <w:pStyle w:val="BodyText"/>
      </w:pPr>
      <w:r>
        <w:rPr>
          <w:bCs/>
          <w:b/>
        </w:rPr>
        <w:t xml:space="preserve">Prepared For:</w:t>
      </w:r>
      <w:r>
        <w:t xml:space="preserve"> </w:t>
      </w:r>
      <w:r>
        <w:t xml:space="preserve">Board of Directors, Qatar Pharmacies Holding</w:t>
      </w:r>
      <w:r>
        <w:br/>
      </w:r>
      <w:r>
        <w:rPr>
          <w:bCs/>
          <w:b/>
        </w:rPr>
        <w:t xml:space="preserve">Date:</w:t>
      </w:r>
      <w:r>
        <w:t xml:space="preserve"> </w:t>
      </w:r>
      <w:r>
        <w:t xml:space="preserve">October 15, 2023</w:t>
      </w:r>
      <w:r>
        <w:br/>
      </w:r>
      <w:r>
        <w:rPr>
          <w:bCs/>
          <w:b/>
        </w:rPr>
        <w:t xml:space="preserve">Report Prepared By:</w:t>
      </w:r>
      <w:r>
        <w:t xml:space="preserve"> </w:t>
      </w:r>
      <w:r>
        <w:t xml:space="preserve">Regional Sales Analytics Team, Qatar Doha Operations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Chemist Sales Report - Q3 2023</dc:title>
  <dc:creator/>
  <dc:language>en</dc:language>
  <cp:keywords/>
  <dcterms:created xsi:type="dcterms:W3CDTF">2026-05-03T06:37:56Z</dcterms:created>
  <dcterms:modified xsi:type="dcterms:W3CDTF">2026-05-03T06:37:56Z</dcterms:modified>
</cp:coreProperties>
</file>

<file path=docProps/custom.xml><?xml version="1.0" encoding="utf-8"?>
<Properties xmlns="http://schemas.openxmlformats.org/officeDocument/2006/custom-properties" xmlns:vt="http://schemas.openxmlformats.org/officeDocument/2006/docPropsVTypes"/>
</file>