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Turkey</w:t>
      </w:r>
      <w:r>
        <w:t xml:space="preserve"> </w:t>
      </w:r>
      <w:r>
        <w:t xml:space="preserve">Ankara</w:t>
      </w:r>
    </w:p>
    <w:bookmarkStart w:id="33" w:name="X6f0b7044770b79fb0af64541b9dbe0a2ab5ffb9"/>
    <w:p>
      <w:pPr>
        <w:pStyle w:val="Heading1"/>
      </w:pPr>
      <w:r>
        <w:t xml:space="preserve">ANNUAL SALES REPORT: CHEMIST OPERATIONS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operational performance of our flagship Chemist outlet in Turkey Ankara for the fiscal year 2023. As a leading pharmaceutical and healthcare retailer serving Ankara's dense urban population, this report underscores strategic growth, market adaptation, and customer-centric achievements within one of Turkey's most dynamic commercial hubs. The data reveals a 15.7% year-over-year revenue increase, solidifying our position as a preferred Chemist destination in Turkey Ankara. This Sales Report serves as both an operational benchmark and roadmap for future expansion across the Turkish market.</w:t>
      </w:r>
    </w:p>
    <w:bookmarkEnd w:id="20"/>
    <w:bookmarkStart w:id="21" w:name="X106d3fa2dd5b1a580de10b3137773af6b8f9506"/>
    <w:p>
      <w:pPr>
        <w:pStyle w:val="Heading2"/>
      </w:pPr>
      <w:r>
        <w:t xml:space="preserve">Market Context: Turkey Ankara's Unique Landscape</w:t>
      </w:r>
    </w:p>
    <w:p>
      <w:pPr>
        <w:pStyle w:val="FirstParagraph"/>
      </w:pPr>
      <w:r>
        <w:t xml:space="preserve">Ankara, as Turkey's political and administrative capital, presents distinct opportunities for a Chemist business. With over 5.5 million residents and a rapidly aging population (18% aged 65+), healthcare demand remains exceptionally high. The city’s strategic location between Istanbul and Izmir also drives consistent medical tourism traffic to our Ankara-based Chemist facility. This Sales Report specifically analyzes how our operations navigate Ankara's unique demographic, regulatory, and competitive environment while maintaining compliance with Turkey's Ministry of Health standards.</w:t>
      </w:r>
    </w:p>
    <w:bookmarkEnd w:id="21"/>
    <w:bookmarkStart w:id="24" w:name="key-sales-performance-metrics"/>
    <w:p>
      <w:pPr>
        <w:pStyle w:val="Heading2"/>
      </w:pPr>
      <w:r>
        <w:t xml:space="preserve">Key Sales Performance Metrics</w:t>
      </w:r>
    </w:p>
    <w:p>
      <w:pPr>
        <w:pStyle w:val="FirstParagraph"/>
      </w:pPr>
      <w:r>
        <w:t xml:space="preserve">KPI</w:t>
      </w:r>
    </w:p>
    <w:p>
      <w:pPr>
        <w:pStyle w:val="BodyText"/>
      </w:pPr>
      <w:r>
        <w:t xml:space="preserve">2023 Value</w:t>
      </w:r>
    </w:p>
    <w:p>
      <w:pPr>
        <w:pStyle w:val="BodyText"/>
      </w:pPr>
      <w:r>
        <w:t xml:space="preserve">YoY Change</w:t>
      </w:r>
    </w:p>
    <w:p>
      <w:pPr>
        <w:pStyle w:val="BodyText"/>
      </w:pPr>
      <w:r>
        <w:t xml:space="preserve">Target Achievement</w:t>
      </w:r>
    </w:p>
    <w:p>
      <w:pPr>
        <w:pStyle w:val="BodyText"/>
      </w:pPr>
      <w:r>
        <w:t xml:space="preserve">Total Revenue (TRY)</w:t>
      </w:r>
    </w:p>
    <w:p>
      <w:pPr>
        <w:pStyle w:val="BodyText"/>
      </w:pPr>
      <w:r>
        <w:t xml:space="preserve">18,450,000</w:t>
      </w:r>
    </w:p>
    <w:p>
      <w:pPr>
        <w:pStyle w:val="BodyText"/>
      </w:pPr>
      <w:r>
        <w:t xml:space="preserve">+15.7%</w:t>
      </w:r>
    </w:p>
    <w:p>
      <w:pPr>
        <w:pStyle w:val="BodyText"/>
      </w:pPr>
      <w:r>
        <w:t xml:space="preserve">98.2%</w:t>
      </w:r>
    </w:p>
    <w:p>
      <w:pPr>
        <w:pStyle w:val="BodyText"/>
      </w:pPr>
      <w:r>
        <w:t xml:space="preserve">Average Transaction Value</w:t>
      </w:r>
    </w:p>
    <w:p>
      <w:pPr>
        <w:pStyle w:val="BodyText"/>
      </w:pPr>
      <w:r>
        <w:t xml:space="preserve">328 TRY</w:t>
      </w:r>
    </w:p>
    <w:p>
      <w:pPr>
        <w:pStyle w:val="BodyText"/>
      </w:pPr>
      <w:r>
        <w:t xml:space="preserve">+7.3%</w:t>
      </w:r>
    </w:p>
    <w:p>
      <w:pPr>
        <w:pStyle w:val="BodyText"/>
      </w:pPr>
      <w:r>
        <w:t xml:space="preserve">104.1%</w:t>
      </w:r>
    </w:p>
    <w:p>
      <w:pPr>
        <w:pStyle w:val="BodyText"/>
      </w:pPr>
      <w:r>
        <w:t xml:space="preserve">New Customer Acquisition</w:t>
      </w:r>
    </w:p>
    <w:p>
      <w:pPr>
        <w:pStyle w:val="BodyText"/>
      </w:pPr>
      <w:r>
        <w:t xml:space="preserve">2,850</w:t>
      </w:r>
    </w:p>
    <w:p>
      <w:pPr>
        <w:pStyle w:val="BodyText"/>
      </w:pPr>
      <w:r>
        <w:t xml:space="preserve">Clinical &amp; Pharmaceutical Products:</w:t>
      </w:r>
    </w:p>
    <w:p>
      <w:pPr>
        <w:pStyle w:val="BodyText"/>
      </w:pPr>
      <w:r>
        <w:t xml:space="preserve">58% of total sales (up 9.2% YoY), driven by chronic disease management medications and diabetes care products. Local Turkish manufacturing partnerships reduced procurement costs by 12%, directly boosting margins in this high-demand category.</w:t>
      </w:r>
    </w:p>
    <w:bookmarkStart w:id="22" w:name="Xc3e29f5dc094a8ac816c7beb8927d906f4b15a9"/>
    <w:p>
      <w:pPr>
        <w:pStyle w:val="Heading3"/>
      </w:pPr>
      <w:r>
        <w:t xml:space="preserve">Over-the-Counter (OTC) Health &amp; Wellness Segment</w:t>
      </w:r>
    </w:p>
    <w:p>
      <w:pPr>
        <w:pStyle w:val="FirstParagraph"/>
      </w:pPr>
      <w:r>
        <w:t xml:space="preserve">OTC sales grew 21.4% to 5,680,000 TRY, reflecting Ankara consumers' heightened focus on preventive health. Key drivers included:</w:t>
      </w:r>
    </w:p>
    <w:p>
      <w:pPr>
        <w:numPr>
          <w:ilvl w:val="0"/>
          <w:numId w:val="1001"/>
        </w:numPr>
        <w:pStyle w:val="Compact"/>
      </w:pPr>
      <w:r>
        <w:t xml:space="preserve">Vitamin D supplements (up 37% during winter months)</w:t>
      </w:r>
    </w:p>
    <w:p>
      <w:pPr>
        <w:numPr>
          <w:ilvl w:val="0"/>
          <w:numId w:val="1001"/>
        </w:numPr>
        <w:pStyle w:val="Compact"/>
      </w:pPr>
      <w:r>
        <w:t xml:space="preserve">Natural pain relief products (32% increase due to rising arthritis cases in elderly population)</w:t>
      </w:r>
    </w:p>
    <w:p>
      <w:pPr>
        <w:numPr>
          <w:ilvl w:val="0"/>
          <w:numId w:val="1001"/>
        </w:numPr>
        <w:pStyle w:val="Compact"/>
      </w:pPr>
      <w:r>
        <w:t xml:space="preserve">Travel wellness kits (150% YoY surge from medical tourism patients)</w:t>
      </w:r>
    </w:p>
    <w:bookmarkEnd w:id="22"/>
    <w:bookmarkStart w:id="23" w:name="beauty-personal-care-division"/>
    <w:p>
      <w:pPr>
        <w:pStyle w:val="Heading3"/>
      </w:pPr>
      <w:r>
        <w:t xml:space="preserve">Beauty &amp; Personal Care Division</w:t>
      </w:r>
    </w:p>
    <w:p>
      <w:pPr>
        <w:pStyle w:val="FirstParagraph"/>
      </w:pPr>
      <w:r>
        <w:t xml:space="preserve">This division achieved 24.1% revenue growth, becoming Turkey Ankara's top-performing non-pharmaceutical category. Strategic partnerships with local Turkish brands like "Aroma Eczanesi" and "Eczane Kozmetik" drove success in:</w:t>
      </w:r>
    </w:p>
    <w:p>
      <w:pPr>
        <w:numPr>
          <w:ilvl w:val="0"/>
          <w:numId w:val="1002"/>
        </w:numPr>
        <w:pStyle w:val="Compact"/>
      </w:pPr>
      <w:r>
        <w:t xml:space="preserve">Herbal skincare (34% of total beauty sales)</w:t>
      </w:r>
    </w:p>
    <w:p>
      <w:pPr>
        <w:numPr>
          <w:ilvl w:val="0"/>
          <w:numId w:val="1002"/>
        </w:numPr>
        <w:pStyle w:val="Compact"/>
      </w:pPr>
      <w:r>
        <w:t xml:space="preserve">Sun care products (28% growth during summer tourism peak)</w:t>
      </w:r>
    </w:p>
    <w:p>
      <w:pPr>
        <w:numPr>
          <w:ilvl w:val="0"/>
          <w:numId w:val="1002"/>
        </w:numPr>
        <w:pStyle w:val="Compact"/>
      </w:pPr>
      <w:r>
        <w:t xml:space="preserve">Men's grooming line (57% increase from Ankara's young professional demographic)</w:t>
      </w:r>
    </w:p>
    <w:bookmarkEnd w:id="23"/>
    <w:bookmarkEnd w:id="24"/>
    <w:bookmarkStart w:id="26" w:name="customer-insights"/>
    <w:bookmarkStart w:id="25" w:name="Xf7dada2dcd0284b8cc8bf62a3ac4952b4febe21"/>
    <w:p>
      <w:pPr>
        <w:pStyle w:val="Heading2"/>
      </w:pPr>
      <w:r>
        <w:t xml:space="preserve">Customer Insights: Understanding Turkey Ankara Consumers</w:t>
      </w:r>
    </w:p>
    <w:p>
      <w:pPr>
        <w:pStyle w:val="FirstParagraph"/>
      </w:pPr>
      <w:r>
        <w:t xml:space="preserve">Data from our 38,000+ active customer profiles reveals critical behavioral trends. 68% of shoppers in Turkey Ankara prioritize "pharmacist consultation" over price—a key differentiator for our Chemist business model. Loyalty program enrollment rose to 42% (from 31% in 2022), with mobile app usage increasing by 76%. Notably, WhatsApp-based prescription refills became the most-requested service (accounting for 31% of digital interactions), reflecting Ankara's preference for seamless digital healthcare solutions.</w:t>
      </w:r>
    </w:p>
    <w:p>
      <w:pPr>
        <w:pStyle w:val="BodyText"/>
      </w:pPr>
      <w:r>
        <w:t xml:space="preserve">Market research confirms that Turkish consumers in Ankara value:</w:t>
      </w:r>
    </w:p>
    <w:p>
      <w:pPr>
        <w:numPr>
          <w:ilvl w:val="0"/>
          <w:numId w:val="1003"/>
        </w:numPr>
        <w:pStyle w:val="Compact"/>
      </w:pPr>
      <w:r>
        <w:t xml:space="preserve">Personalized health advice over transactional sales</w:t>
      </w:r>
    </w:p>
    <w:p>
      <w:pPr>
        <w:numPr>
          <w:ilvl w:val="0"/>
          <w:numId w:val="1003"/>
        </w:numPr>
        <w:pStyle w:val="Compact"/>
      </w:pPr>
      <w:r>
        <w:t xml:space="preserve">Local brand availability (72% choose local over imported products)</w:t>
      </w:r>
    </w:p>
    <w:p>
      <w:pPr>
        <w:numPr>
          <w:ilvl w:val="0"/>
          <w:numId w:val="1003"/>
        </w:numPr>
        <w:pStyle w:val="Compact"/>
      </w:pPr>
      <w:r>
        <w:t xml:space="preserve">Premiumization in wellness categories (19% willing to pay 20%+ for certified organic products)</w:t>
      </w:r>
    </w:p>
    <w:bookmarkEnd w:id="25"/>
    <w:bookmarkEnd w:id="26"/>
    <w:bookmarkStart w:id="30" w:name="challenges-opportunities"/>
    <w:bookmarkStart w:id="29" w:name="challenges-strategic-opportunities"/>
    <w:p>
      <w:pPr>
        <w:pStyle w:val="Heading2"/>
      </w:pPr>
      <w:r>
        <w:t xml:space="preserve">Challenges &amp; Strategic Opportunities</w:t>
      </w:r>
    </w:p>
    <w:bookmarkStart w:id="27" w:name="key-challenges-in-turkey-ankara-market"/>
    <w:p>
      <w:pPr>
        <w:pStyle w:val="Heading3"/>
      </w:pPr>
      <w:r>
        <w:t xml:space="preserve">Key Challenges in Turkey Ankara Market</w:t>
      </w:r>
    </w:p>
    <w:p>
      <w:pPr>
        <w:pStyle w:val="FirstParagraph"/>
      </w:pPr>
      <w:r>
        <w:rPr>
          <w:bCs/>
          <w:b/>
        </w:rPr>
        <w:t xml:space="preserve">Rising Regulatory Compliance Costs:</w:t>
      </w:r>
      <w:r>
        <w:t xml:space="preserve"> </w:t>
      </w:r>
      <w:r>
        <w:t xml:space="preserve">New 2023 Turkish healthcare regulations increased operational expenses by 8.5%. Our Chemist adapted through dedicated compliance training and AI-driven inventory management.</w:t>
      </w:r>
    </w:p>
    <w:p>
      <w:pPr>
        <w:pStyle w:val="BodyText"/>
      </w:pPr>
      <w:r>
        <w:rPr>
          <w:bCs/>
          <w:b/>
        </w:rPr>
        <w:t xml:space="preserve">Demand-Supply Imbalances:</w:t>
      </w:r>
      <w:r>
        <w:t xml:space="preserve"> </w:t>
      </w:r>
      <w:r>
        <w:t xml:space="preserve">Seasonal spikes (e.g., flu season) caused temporary shortages of key medications. This prompted our Chemist to implement a predictive analytics system using Ankara's historical health data.</w:t>
      </w:r>
    </w:p>
    <w:bookmarkEnd w:id="27"/>
    <w:bookmarkStart w:id="28" w:name="strategic-growth-opportunities"/>
    <w:p>
      <w:pPr>
        <w:pStyle w:val="Heading3"/>
      </w:pPr>
      <w:r>
        <w:t xml:space="preserve">Strategic Growth Opportunities</w:t>
      </w:r>
    </w:p>
    <w:p>
      <w:pPr>
        <w:pStyle w:val="FirstParagraph"/>
      </w:pPr>
      <w:r>
        <w:rPr>
          <w:bCs/>
          <w:b/>
        </w:rPr>
        <w:t xml:space="preserve">Digital Expansion:</w:t>
      </w:r>
      <w:r>
        <w:t xml:space="preserve"> </w:t>
      </w:r>
      <w:r>
        <w:t xml:space="preserve">Partnering with Turkey's government "e-Sağlık" platform to integrate prescription services directly into our Chemist operations—expected to increase digital transactions by 40% in 2024.</w:t>
      </w:r>
    </w:p>
    <w:p>
      <w:pPr>
        <w:pStyle w:val="BodyText"/>
      </w:pPr>
      <w:r>
        <w:rPr>
          <w:bCs/>
          <w:b/>
        </w:rPr>
        <w:t xml:space="preserve">Specialized Wellness Clinics:</w:t>
      </w:r>
      <w:r>
        <w:t xml:space="preserve"> </w:t>
      </w:r>
      <w:r>
        <w:t xml:space="preserve">Launching "Pharmacy Health Hubs" within our Ankara location offering free blood pressure screenings and nutritional counseling, capitalizing on Ankara's high demand for preventative care.</w:t>
      </w:r>
    </w:p>
    <w:p>
      <w:pPr>
        <w:pStyle w:val="BodyText"/>
      </w:pPr>
      <w:r>
        <w:rPr>
          <w:bCs/>
          <w:b/>
        </w:rPr>
        <w:t xml:space="preserve">Regional Expansion:</w:t>
      </w:r>
      <w:r>
        <w:t xml:space="preserve"> </w:t>
      </w:r>
      <w:r>
        <w:t xml:space="preserve">The success of our Turkey Ankara Chemist has proven the model's viability. We propose opening two additional locations in Gölbaşı and Çankaya within 18 months, targeting Ankara's rapidly expanding residential zones.</w:t>
      </w:r>
    </w:p>
    <w:bookmarkEnd w:id="28"/>
    <w:bookmarkEnd w:id="29"/>
    <w:bookmarkEnd w:id="30"/>
    <w:bookmarkStart w:id="32" w:name="conclusion"/>
    <w:bookmarkStart w:id="31" w:name="conclusion-strategic-outlook"/>
    <w:p>
      <w:pPr>
        <w:pStyle w:val="Heading2"/>
      </w:pPr>
      <w:r>
        <w:t xml:space="preserve">Conclusion &amp; Strategic Outlook</w:t>
      </w:r>
    </w:p>
    <w:p>
      <w:pPr>
        <w:pStyle w:val="FirstParagraph"/>
      </w:pPr>
      <w:r>
        <w:t xml:space="preserve">This Sales Report confirms that our Chemist business model is exceptionally well-aligned with Turkey Ankara's evolving healthcare landscape. The 15.7% revenue growth demonstrates how prioritizing personalized service and community health needs yields superior results in a competitive market. Our success in Ankara positions us as a benchmark for future Chemist operations across Turkey, particularly as the government intensifies its focus on accessible primary care.</w:t>
      </w:r>
    </w:p>
    <w:p>
      <w:pPr>
        <w:pStyle w:val="BodyText"/>
      </w:pPr>
      <w:r>
        <w:t xml:space="preserve">Looking ahead, we will double down on three pillars:</w:t>
      </w:r>
    </w:p>
    <w:p>
      <w:pPr>
        <w:numPr>
          <w:ilvl w:val="0"/>
          <w:numId w:val="1004"/>
        </w:numPr>
        <w:pStyle w:val="Compact"/>
      </w:pPr>
      <w:r>
        <w:rPr>
          <w:bCs/>
          <w:b/>
        </w:rPr>
        <w:t xml:space="preserve">Deepening Community Trust:</w:t>
      </w:r>
      <w:r>
        <w:t xml:space="preserve"> </w:t>
      </w:r>
      <w:r>
        <w:t xml:space="preserve">Expanding free health education workshops in Ankara neighborhoods</w:t>
      </w:r>
    </w:p>
    <w:p>
      <w:pPr>
        <w:numPr>
          <w:ilvl w:val="0"/>
          <w:numId w:val="1004"/>
        </w:numPr>
        <w:pStyle w:val="Compact"/>
      </w:pPr>
      <w:r>
        <w:rPr>
          <w:bCs/>
          <w:b/>
        </w:rPr>
        <w:t xml:space="preserve">Localizing Supply Chains:</w:t>
      </w:r>
      <w:r>
        <w:t xml:space="preserve"> </w:t>
      </w:r>
      <w:r>
        <w:t xml:space="preserve">Partnering with Turkish pharmaceutical manufacturers to reduce costs and support national industry</w:t>
      </w:r>
    </w:p>
    <w:p>
      <w:pPr>
        <w:numPr>
          <w:ilvl w:val="0"/>
          <w:numId w:val="1004"/>
        </w:numPr>
        <w:pStyle w:val="Compact"/>
      </w:pPr>
      <w:r>
        <w:rPr>
          <w:bCs/>
          <w:b/>
        </w:rPr>
        <w:t xml:space="preserve">Technology Integration:</w:t>
      </w:r>
      <w:r>
        <w:t xml:space="preserve"> </w:t>
      </w:r>
      <w:r>
        <w:t xml:space="preserve">Developing an AI-driven customer health profile system for personalized Chemist recommendations</w:t>
      </w:r>
    </w:p>
    <w:p>
      <w:pPr>
        <w:pStyle w:val="FirstParagraph"/>
      </w:pPr>
      <w:r>
        <w:t xml:space="preserve">The data is unequivocal: Turkey Ankara's consumers don't just seek products—they seek healthcare partners. As this Sales Report demonstrates, our Chemist has successfully transitioned from transactional retailer to essential community health resource. We project 18-20% revenue growth for 2024 and recommend allocating 35% of new investment capital toward digital health innovations specific to the Ankara market.</w:t>
      </w:r>
    </w:p>
    <w:p>
      <w:pPr>
        <w:pStyle w:val="BodyText"/>
      </w:pPr>
      <w:r>
        <w:rPr>
          <w:bCs/>
          <w:b/>
        </w:rPr>
        <w:t xml:space="preserve">Prepared by:</w:t>
      </w:r>
      <w:r>
        <w:t xml:space="preserve"> </w:t>
      </w:r>
      <w:r>
        <w:t xml:space="preserve">Anıl Demir, Head of Operations</w:t>
      </w:r>
      <w:r>
        <w:br/>
      </w:r>
      <w:r>
        <w:rPr>
          <w:bCs/>
          <w:b/>
        </w:rPr>
        <w:t xml:space="preserve">For:</w:t>
      </w:r>
      <w:r>
        <w:t xml:space="preserve"> </w:t>
      </w:r>
      <w:r>
        <w:t xml:space="preserve">Central Pharmacy Group Turkey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Chemist Operations in Turkey Ankara</dc:title>
  <dc:creator/>
  <dc:language>en</dc:language>
  <cp:keywords/>
  <dcterms:created xsi:type="dcterms:W3CDTF">2025-12-11T04:30:53Z</dcterms:created>
  <dcterms:modified xsi:type="dcterms:W3CDTF">2025-12-11T04:30:53Z</dcterms:modified>
</cp:coreProperties>
</file>

<file path=docProps/custom.xml><?xml version="1.0" encoding="utf-8"?>
<Properties xmlns="http://schemas.openxmlformats.org/officeDocument/2006/custom-properties" xmlns:vt="http://schemas.openxmlformats.org/officeDocument/2006/docPropsVTypes"/>
</file>