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Istanbul</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5ca41769388767e6d7d9955d79b6da4b551c45"/>
    <w:p>
      <w:pPr>
        <w:pStyle w:val="Heading1"/>
      </w:pPr>
      <w:r>
        <w:t xml:space="preserve">Comprehensive Sales Report for Leading Chemist Chain in Istanbul, Turkey: Q3 2023 Performance Analysis</w:t>
      </w:r>
    </w:p>
    <w:bookmarkStart w:id="20" w:name="executive-summary"/>
    <w:p>
      <w:pPr>
        <w:pStyle w:val="Heading2"/>
      </w:pPr>
      <w:r>
        <w:t xml:space="preserve">Executive Summary</w:t>
      </w:r>
    </w:p>
    <w:p>
      <w:pPr>
        <w:pStyle w:val="FirstParagraph"/>
      </w:pPr>
      <w:r>
        <w:t xml:space="preserve">This official Sales Report details the performance of our premier chemist chain across all outlets within Istanbul, Turkey. Covering the third quarter of 2023 (July 1 – September 30), this document provides a strategic overview of sales trends, market dynamics, and future opportunities specific to the Turkish pharmaceutical retail landscape. As a leading</w:t>
      </w:r>
      <w:r>
        <w:t xml:space="preserve"> </w:t>
      </w:r>
      <w:r>
        <w:rPr>
          <w:iCs/>
          <w:i/>
        </w:rPr>
        <w:t xml:space="preserve">chemist</w:t>
      </w:r>
      <w:r>
        <w:t xml:space="preserve"> </w:t>
      </w:r>
      <w:r>
        <w:t xml:space="preserve">operator in Istanbul with over 45 strategically positioned stores, our focus remains on patient-centric care and regulatory compliance within the Turkish healthcare ecosystem. This report confirms sustained growth amid economic challenges, reflecting our deep integration into the Istanbul community.</w:t>
      </w:r>
    </w:p>
    <w:bookmarkEnd w:id="20"/>
    <w:bookmarkStart w:id="21" w:name="X7a7f96dee563ff8694123f6b60eaed8818cfe97"/>
    <w:p>
      <w:pPr>
        <w:pStyle w:val="Heading2"/>
      </w:pPr>
      <w:r>
        <w:t xml:space="preserve">Market Context: Turkey Istanbul Pharmaceutical Sector Overview</w:t>
      </w:r>
    </w:p>
    <w:p>
      <w:pPr>
        <w:pStyle w:val="FirstParagraph"/>
      </w:pPr>
      <w:r>
        <w:t xml:space="preserve">Istanbul's pharmaceutical market represents approximately 40% of Turkey's total retail pharmacy sales volume, driven by its 16 million population and high healthcare accessibility. As a city with stringent regulatory oversight through the Turkish Pharmacists Association (Türkiye Eczacı Odası - TEO), our</w:t>
      </w:r>
      <w:r>
        <w:t xml:space="preserve"> </w:t>
      </w:r>
      <w:r>
        <w:rPr>
          <w:iCs/>
          <w:i/>
        </w:rPr>
        <w:t xml:space="preserve">chemist</w:t>
      </w:r>
      <w:r>
        <w:t xml:space="preserve"> </w:t>
      </w:r>
      <w:r>
        <w:t xml:space="preserve">operations strictly adhere to all EKSA (Eczacılık Kanunu) compliance standards. The Q3 market showed a 7.2% year-on-year growth, fueled by increased demand for chronic disease management products and seasonal health supplements – factors we leveraged effectively across our Istanbul footprint.</w:t>
      </w:r>
    </w:p>
    <w:bookmarkEnd w:id="21"/>
    <w:bookmarkStart w:id="22" w:name="q3-2023-sales-performance-key-metrics"/>
    <w:p>
      <w:pPr>
        <w:pStyle w:val="Heading2"/>
      </w:pPr>
      <w:r>
        <w:t xml:space="preserve">Q3 2023 Sales Performance: Key Metrics</w:t>
      </w:r>
    </w:p>
    <w:p>
      <w:pPr>
        <w:pStyle w:val="FirstParagraph"/>
      </w:pPr>
      <w:r>
        <w:t xml:space="preserve">Category</w:t>
      </w:r>
    </w:p>
    <w:p>
      <w:pPr>
        <w:pStyle w:val="BodyText"/>
      </w:pPr>
      <w:r>
        <w:t xml:space="preserve">Revenue (TRY)</w:t>
      </w:r>
    </w:p>
    <w:p>
      <w:pPr>
        <w:pStyle w:val="BodyText"/>
      </w:pPr>
      <w:r>
        <w:t xml:space="preserve">% YoY Change</w:t>
      </w:r>
    </w:p>
    <w:p>
      <w:pPr>
        <w:pStyle w:val="BodyText"/>
      </w:pPr>
      <w:r>
        <w:t xml:space="preserve">Market Share (Istanbul)</w:t>
      </w:r>
    </w:p>
    <w:p>
      <w:pPr>
        <w:pStyle w:val="BodyText"/>
      </w:pPr>
      <w:r>
        <w:t xml:space="preserve">Total Sales</w:t>
      </w:r>
    </w:p>
    <w:p>
      <w:pPr>
        <w:pStyle w:val="BodyText"/>
      </w:pPr>
      <w:r>
        <w:t xml:space="preserve">47,250,000</w:t>
      </w:r>
    </w:p>
    <w:p>
      <w:pPr>
        <w:pStyle w:val="BodyText"/>
      </w:pPr>
      <w:r>
        <w:t xml:space="preserve">+9.8%</w:t>
      </w:r>
    </w:p>
    <w:p>
      <w:pPr>
        <w:pStyle w:val="BodyText"/>
      </w:pPr>
      <w:r>
        <w:t xml:space="preserve">18.3%</w:t>
      </w:r>
    </w:p>
    <w:p>
      <w:pPr>
        <w:pStyle w:val="BodyText"/>
      </w:pPr>
      <w:r>
        <w:t xml:space="preserve">Prescription Medicines</w:t>
      </w:r>
    </w:p>
    <w:p>
      <w:pPr>
        <w:pStyle w:val="BodyText"/>
      </w:pPr>
      <w:r>
        <w:t xml:space="preserve">28,150,000</w:t>
      </w:r>
    </w:p>
    <w:p>
      <w:pPr>
        <w:pStyle w:val="BodyText"/>
      </w:pPr>
      <w:r>
        <w:t xml:space="preserve">+6.4%</w:t>
      </w:r>
    </w:p>
    <w:p>
      <w:pPr>
        <w:pStyle w:val="BodyText"/>
      </w:pPr>
      <w:r>
        <w:t xml:space="preserve">OTC Products (Non-Prescription)</w:t>
      </w:r>
    </w:p>
    <w:p>
      <w:pPr>
        <w:pStyle w:val="BodyText"/>
      </w:pPr>
      <w:r>
        <w:t xml:space="preserve">12,635,000</w:t>
      </w:r>
    </w:p>
    <w:p>
      <w:pPr>
        <w:pStyle w:val="BodyText"/>
      </w:pPr>
      <w:r>
        <w:t xml:space="preserve">+14.7%</w:t>
      </w:r>
    </w:p>
    <w:p>
      <w:pPr>
        <w:pStyle w:val="BodyText"/>
      </w:pPr>
      <w:r>
        <w:t xml:space="preserve">Personal Care &amp; Cosmetics</w:t>
      </w:r>
    </w:p>
    <w:p>
      <w:pPr>
        <w:pStyle w:val="BodyText"/>
      </w:pPr>
      <w:r>
        <w:t xml:space="preserve">6,465,000+22.1%</w:t>
      </w:r>
    </w:p>
    <w:p>
      <w:pPr>
        <w:pStyle w:val="BodyText"/>
      </w:pPr>
      <w:r>
        <w:t xml:space="preserve">Medical Devices</w:t>
      </w:r>
    </w:p>
    <w:p>
      <w:pPr>
        <w:pStyle w:val="BodyText"/>
      </w:pPr>
      <w:r>
        <w:t xml:space="preserve">380,000+18.9%</w:t>
      </w:r>
    </w:p>
    <w:p>
      <w:pPr>
        <w:pStyle w:val="BodyText"/>
      </w:pPr>
      <w:r>
        <w:t xml:space="preserve">The Q3 results demonstrate strong performance across all segments, with OTC and Personal Care categories outperforming market averages by 5-7 percentage points. This reflects our targeted marketing strategies for Istanbul's health-conscious urban population, particularly in affluent districts like Beşiktaş, Şişli, and Kadıköy. Notably, sales of diabetic management products increased by 19% following a city-wide health initiative launched by the Istanbul Metropolitan Municipality.</w:t>
      </w:r>
    </w:p>
    <w:bookmarkEnd w:id="22"/>
    <w:bookmarkStart w:id="23" w:name="X927a20338e76dc85036f0d8e348bcdf0ed55676"/>
    <w:p>
      <w:pPr>
        <w:pStyle w:val="Heading2"/>
      </w:pPr>
      <w:r>
        <w:t xml:space="preserve">Regional Sales Analysis: Istanbul District Breakdown</w:t>
      </w:r>
    </w:p>
    <w:p>
      <w:pPr>
        <w:pStyle w:val="FirstParagraph"/>
      </w:pPr>
      <w:r>
        <w:t xml:space="preserve">Our distribution across Istanbul’s 39 districts yielded significant insights:</w:t>
      </w:r>
    </w:p>
    <w:p>
      <w:pPr>
        <w:numPr>
          <w:ilvl w:val="0"/>
          <w:numId w:val="1001"/>
        </w:numPr>
        <w:pStyle w:val="Compact"/>
      </w:pPr>
      <w:r>
        <w:rPr>
          <w:bCs/>
          <w:b/>
        </w:rPr>
        <w:t xml:space="preserve">Central Business Districts (Kadıköy, Üsküdar):</w:t>
      </w:r>
      <w:r>
        <w:t xml:space="preserve"> </w:t>
      </w:r>
      <w:r>
        <w:t xml:space="preserve">Highest sales density (+12.4% YoY), driven by tourism and premium product demand. Our Kadıköy chemist outlet recorded the highest quarterly revenue (€385,000) in Turkey.</w:t>
      </w:r>
    </w:p>
    <w:p>
      <w:pPr>
        <w:numPr>
          <w:ilvl w:val="0"/>
          <w:numId w:val="1001"/>
        </w:numPr>
        <w:pStyle w:val="Compact"/>
      </w:pPr>
      <w:r>
        <w:rPr>
          <w:bCs/>
          <w:b/>
        </w:rPr>
        <w:t xml:space="preserve">Residential Zones (Esenler, Ümraniye):</w:t>
      </w:r>
      <w:r>
        <w:t xml:space="preserve"> </w:t>
      </w:r>
      <w:r>
        <w:t xml:space="preserve">Steady growth in chronic medication sales (+8.1%), aligning with Istanbul's aging demographic trends.</w:t>
      </w:r>
    </w:p>
    <w:p>
      <w:pPr>
        <w:numPr>
          <w:ilvl w:val="0"/>
          <w:numId w:val="1001"/>
        </w:numPr>
        <w:pStyle w:val="Compact"/>
      </w:pPr>
      <w:r>
        <w:rPr>
          <w:bCs/>
          <w:b/>
        </w:rPr>
        <w:t xml:space="preserve">Luxury Neighborhoods (Bostancı, Arnavutköy):</w:t>
      </w:r>
      <w:r>
        <w:t xml:space="preserve"> </w:t>
      </w:r>
      <w:r>
        <w:t xml:space="preserve">24% YoY surge in premium skincare, reflecting Istanbul's growing wellness economy.</w:t>
      </w:r>
    </w:p>
    <w:p>
      <w:pPr>
        <w:numPr>
          <w:ilvl w:val="0"/>
          <w:numId w:val="1001"/>
        </w:numPr>
        <w:pStyle w:val="Compact"/>
      </w:pPr>
      <w:r>
        <w:rPr>
          <w:bCs/>
          <w:b/>
        </w:rPr>
        <w:t xml:space="preserve">Peripheral Areas (Avcılar, Eyüp):</w:t>
      </w:r>
      <w:r>
        <w:t xml:space="preserve"> </w:t>
      </w:r>
      <w:r>
        <w:t xml:space="preserve">Strongest performance in essential OTC products (+16.3%), highlighting demand for basic healthcare accessibility.</w:t>
      </w:r>
    </w:p>
    <w:bookmarkEnd w:id="23"/>
    <w:bookmarkStart w:id="24" w:name="challenges-strategic-response"/>
    <w:p>
      <w:pPr>
        <w:pStyle w:val="Heading2"/>
      </w:pPr>
      <w:r>
        <w:t xml:space="preserve">Challenges &amp; Strategic Response</w:t>
      </w:r>
    </w:p>
    <w:p>
      <w:pPr>
        <w:pStyle w:val="FirstParagraph"/>
      </w:pPr>
      <w:r>
        <w:t xml:space="preserve">The Turkish lira depreciation (15% against USD in Q3) impacted import costs for key pharmaceuticals. Our Istanbul-based procurement team mitigated this through:</w:t>
      </w:r>
    </w:p>
    <w:p>
      <w:pPr>
        <w:numPr>
          <w:ilvl w:val="0"/>
          <w:numId w:val="1002"/>
        </w:numPr>
        <w:pStyle w:val="Compact"/>
      </w:pPr>
      <w:r>
        <w:t xml:space="preserve">Strengthening local supplier partnerships with Turkish manufacturers (e.g., Eczacıbaşı, Acıbadem).</w:t>
      </w:r>
    </w:p>
    <w:p>
      <w:pPr>
        <w:numPr>
          <w:ilvl w:val="0"/>
          <w:numId w:val="1002"/>
        </w:numPr>
        <w:pStyle w:val="Compact"/>
      </w:pPr>
      <w:r>
        <w:t xml:space="preserve">Implementing dynamic pricing strategies approved by TEO for essential medicines.</w:t>
      </w:r>
    </w:p>
    <w:p>
      <w:pPr>
        <w:numPr>
          <w:ilvl w:val="0"/>
          <w:numId w:val="1002"/>
        </w:numPr>
        <w:pStyle w:val="Compact"/>
      </w:pPr>
      <w:r>
        <w:t xml:space="preserve">Accelerating digital pharmacy services (Istanbul-specific e-prescription platform) reducing operational costs by 12%.</w:t>
      </w:r>
    </w:p>
    <w:p>
      <w:pPr>
        <w:pStyle w:val="FirstParagraph"/>
      </w:pPr>
      <w:r>
        <w:t xml:space="preserve">We also addressed the rising cost of living through community-focused initiatives, including free blood pressure screenings at all Istanbul chemist locations during Ramadan – a move that increased foot traffic by 33% in September.</w:t>
      </w:r>
    </w:p>
    <w:bookmarkEnd w:id="24"/>
    <w:bookmarkStart w:id="25" w:name="X950ff48603570d52cb800e36ee7de0cd4969e95"/>
    <w:p>
      <w:pPr>
        <w:pStyle w:val="Heading2"/>
      </w:pPr>
      <w:r>
        <w:t xml:space="preserve">Competitive Positioning in Turkey Istanbul</w:t>
      </w:r>
    </w:p>
    <w:p>
      <w:pPr>
        <w:pStyle w:val="FirstParagraph"/>
      </w:pPr>
      <w:r>
        <w:t xml:space="preserve">Our market share growth (1.8% points to 18.3%) outpaced both national averages (5.6%) and key competitors like Apotek and Halk Eczanesi in Istanbul specifically. This success stems from:</w:t>
      </w:r>
    </w:p>
    <w:p>
      <w:pPr>
        <w:numPr>
          <w:ilvl w:val="0"/>
          <w:numId w:val="1003"/>
        </w:numPr>
        <w:pStyle w:val="Compact"/>
      </w:pPr>
      <w:r>
        <w:t xml:space="preserve">Strategic store placement within 500m of high-density residential areas across Istanbul.</w:t>
      </w:r>
    </w:p>
    <w:p>
      <w:pPr>
        <w:numPr>
          <w:ilvl w:val="0"/>
          <w:numId w:val="1003"/>
        </w:numPr>
        <w:pStyle w:val="Compact"/>
      </w:pPr>
      <w:r>
        <w:t xml:space="preserve">Compliance excellence: Zero regulatory penalties across all 45 Istanbul locations during Q3 (vs. industry average of 2.3 per chain).</w:t>
      </w:r>
    </w:p>
    <w:p>
      <w:pPr>
        <w:numPr>
          <w:ilvl w:val="0"/>
          <w:numId w:val="1003"/>
        </w:numPr>
        <w:pStyle w:val="Compact"/>
      </w:pPr>
      <w:r>
        <w:t xml:space="preserve">Istanbul-specific product curation: Increased availability of Turkish-made herbal remedies and Mediterranean diet supplements.</w:t>
      </w:r>
    </w:p>
    <w:bookmarkEnd w:id="25"/>
    <w:bookmarkStart w:id="26" w:name="X96473514d6de119313da0be9c4a1f8edb677aa8"/>
    <w:p>
      <w:pPr>
        <w:pStyle w:val="Heading2"/>
      </w:pPr>
      <w:r>
        <w:t xml:space="preserve">Future Strategy: Istanbul-Centric Growth Plan</w:t>
      </w:r>
    </w:p>
    <w:p>
      <w:pPr>
        <w:pStyle w:val="FirstParagraph"/>
      </w:pPr>
      <w:r>
        <w:t xml:space="preserve">Based on this Q3 performance, we commit to the following Istanbul-focused initiatives for Q4 2023:</w:t>
      </w:r>
    </w:p>
    <w:p>
      <w:pPr>
        <w:numPr>
          <w:ilvl w:val="0"/>
          <w:numId w:val="1004"/>
        </w:numPr>
        <w:pStyle w:val="Compact"/>
      </w:pPr>
      <w:r>
        <w:rPr>
          <w:bCs/>
          <w:b/>
        </w:rPr>
        <w:t xml:space="preserve">Expansion in Emerging Districts:</w:t>
      </w:r>
      <w:r>
        <w:t xml:space="preserve"> </w:t>
      </w:r>
      <w:r>
        <w:t xml:space="preserve">Opening two new chemist locations in emerging neighborhoods (Göztepe and Avcılar) to capture untapped demand.</w:t>
      </w:r>
    </w:p>
    <w:p>
      <w:pPr>
        <w:numPr>
          <w:ilvl w:val="0"/>
          <w:numId w:val="1004"/>
        </w:numPr>
        <w:pStyle w:val="Compact"/>
      </w:pPr>
      <w:r>
        <w:rPr>
          <w:bCs/>
          <w:b/>
        </w:rPr>
        <w:t xml:space="preserve">Digital Integration:</w:t>
      </w:r>
      <w:r>
        <w:t xml:space="preserve"> </w:t>
      </w:r>
      <w:r>
        <w:t xml:space="preserve">Launching an AI-powered mobile app for Istanbul residents with features like appointment scheduling, medicine reminders, and delivery tracking – integrated with Istanbul Metropolitan Municipality’s health portal.</w:t>
      </w:r>
    </w:p>
    <w:p>
      <w:pPr>
        <w:numPr>
          <w:ilvl w:val="0"/>
          <w:numId w:val="1004"/>
        </w:numPr>
        <w:pStyle w:val="Compact"/>
      </w:pPr>
      <w:r>
        <w:rPr>
          <w:bCs/>
          <w:b/>
        </w:rPr>
        <w:t xml:space="preserve">Healthcare Partnerships:</w:t>
      </w:r>
      <w:r>
        <w:t xml:space="preserve"> </w:t>
      </w:r>
      <w:r>
        <w:t xml:space="preserve">Collaborating with Istanbul-based hospitals (e.g., University of Health Sciences) for co-branded patient education programs targeting chronic conditions prevalent in the city.</w:t>
      </w:r>
    </w:p>
    <w:p>
      <w:pPr>
        <w:numPr>
          <w:ilvl w:val="0"/>
          <w:numId w:val="1004"/>
        </w:numPr>
        <w:pStyle w:val="Compact"/>
      </w:pPr>
      <w:r>
        <w:rPr>
          <w:bCs/>
          <w:b/>
        </w:rPr>
        <w:t xml:space="preserve">Sustainability Drive:</w:t>
      </w:r>
      <w:r>
        <w:t xml:space="preserve"> </w:t>
      </w:r>
      <w:r>
        <w:t xml:space="preserve">Implementing zero-waste packaging across all Istanbul chemist outlets by Q2 2024, aligning with Turkey's national sustainability goals.</w:t>
      </w:r>
    </w:p>
    <w:bookmarkEnd w:id="26"/>
    <w:bookmarkStart w:id="27" w:name="conclusion"/>
    <w:p>
      <w:pPr>
        <w:pStyle w:val="Heading2"/>
      </w:pPr>
      <w:r>
        <w:t xml:space="preserve">Conclusion</w:t>
      </w:r>
    </w:p>
    <w:p>
      <w:pPr>
        <w:pStyle w:val="FirstParagraph"/>
      </w:pPr>
      <w:r>
        <w:t xml:space="preserve">This Sales Report underscores our position as a market leader among chemists in Istanbul, Turkey. The Q3 results demonstrate resilience against macroeconomic headwinds and exceptional adaptability to Istanbul’s unique healthcare demands. By maintaining strict adherence to Turkish pharmaceutical regulations while innovating for local needs, our chemist chain continues to strengthen its community role. We project continued growth of 10-12% for the full year, with Istanbul contributing 42% of total national sales – a testament to our strategic focus on Turkey's most dynamic market.</w:t>
      </w:r>
    </w:p>
    <w:p>
      <w:pPr>
        <w:pStyle w:val="BodyText"/>
      </w:pPr>
      <w:r>
        <w:rPr>
          <w:bCs/>
          <w:b/>
        </w:rPr>
        <w:t xml:space="preserve">Prepared For:</w:t>
      </w:r>
      <w:r>
        <w:t xml:space="preserve"> </w:t>
      </w:r>
      <w:r>
        <w:t xml:space="preserve">Management Board, Turkey National Operations</w:t>
      </w:r>
      <w:r>
        <w:t xml:space="preserve"> </w:t>
      </w:r>
      <w:r>
        <w:rPr>
          <w:bCs/>
          <w:b/>
        </w:rPr>
        <w:t xml:space="preserve">Date:</w:t>
      </w:r>
      <w:r>
        <w:t xml:space="preserve"> </w:t>
      </w:r>
      <w:r>
        <w:t xml:space="preserve">October 15, 2023</w:t>
      </w:r>
      <w:r>
        <w:t xml:space="preserve"> </w:t>
      </w:r>
      <w:r>
        <w:rPr>
          <w:bCs/>
          <w:b/>
        </w:rPr>
        <w:t xml:space="preserve">Report Type:</w:t>
      </w:r>
      <w:r>
        <w:t xml:space="preserve"> </w:t>
      </w:r>
      <w:r>
        <w:t xml:space="preserve">Quarterly Sales Performance (Istanbul Chemist Chain)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Istanbul Chemist Sales Report - Q3 2023</dc:title>
  <dc:creator/>
  <dc:language>en</dc:language>
  <cp:keywords/>
  <dcterms:created xsi:type="dcterms:W3CDTF">2025-12-09T06:40:34Z</dcterms:created>
  <dcterms:modified xsi:type="dcterms:W3CDTF">2025-12-09T06:40:34Z</dcterms:modified>
</cp:coreProperties>
</file>

<file path=docProps/custom.xml><?xml version="1.0" encoding="utf-8"?>
<Properties xmlns="http://schemas.openxmlformats.org/officeDocument/2006/custom-properties" xmlns:vt="http://schemas.openxmlformats.org/officeDocument/2006/docPropsVTypes"/>
</file>