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7" w:name="X0984d90a091cbc11fb29ab3a73d8a24b00484a3"/>
    <w:p>
      <w:pPr>
        <w:pStyle w:val="Heading1"/>
      </w:pPr>
      <w:r>
        <w:t xml:space="preserve">Monthly Sales Report for Chemist Pharmacy - Abu Dhabi,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Abu Dhabi Pharmacies</w:t>
      </w:r>
      <w:r>
        <w:br/>
      </w:r>
      <w:r>
        <w:rPr>
          <w:bCs/>
          <w:b/>
        </w:rPr>
        <w:t xml:space="preserve">Reporting Period:</w:t>
      </w:r>
      <w:r>
        <w:t xml:space="preserve"> </w:t>
      </w:r>
      <w:r>
        <w:t xml:space="preserve">September 1 - September 30, 2023</w:t>
      </w:r>
    </w:p>
    <w:bookmarkStart w:id="20" w:name="executive-summary"/>
    <w:p>
      <w:pPr>
        <w:pStyle w:val="Heading2"/>
      </w:pPr>
      <w:r>
        <w:t xml:space="preserve">1. 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leading pharmacy chain in the United Arab Emirates Abu Dhabi region for September 2023. The report analyzes sales trends, product categories, customer behavior, and market dynamics specific to our Chemist operations across Abu Dhabi. Despite challenging economic conditions in the broader Middle East market, our</w:t>
      </w:r>
      <w:r>
        <w:t xml:space="preserve"> </w:t>
      </w:r>
      <w:r>
        <w:rPr>
          <w:bCs/>
          <w:b/>
        </w:rPr>
        <w:t xml:space="preserve">Chemist</w:t>
      </w:r>
      <w:r>
        <w:t xml:space="preserve"> </w:t>
      </w:r>
      <w:r>
        <w:t xml:space="preserve">outlets demonstrated resilience with a 7.8% month-over-month revenue increase, solidifying our position as a preferred healthcare provider in the United Arab Emirates Abu Dhabi marketplace.</w:t>
      </w:r>
    </w:p>
    <w:bookmarkEnd w:id="20"/>
    <w:bookmarkStart w:id="21" w:name="sales-performance-overview"/>
    <w:p>
      <w:pPr>
        <w:pStyle w:val="Heading2"/>
      </w:pPr>
      <w:r>
        <w:t xml:space="preserve">2. Sales Performance Overview</w:t>
      </w:r>
    </w:p>
    <w:p>
      <w:pPr>
        <w:pStyle w:val="FirstParagraph"/>
      </w:pPr>
      <w:r>
        <w:t xml:space="preserve">September marked a significant milestone for our pharmacy network in Abu Dhabi, with total sales reaching AED 1,437,500 (approximately USD $391,800), representing an 18.6% year-over-year growth. This performance outpaces the Abu Dhabi pharmaceutical market average of 12.3% for Q3 2023 as reported by the Abu Dhabi Department of Health. Key drivers included:</w:t>
      </w:r>
    </w:p>
    <w:p>
      <w:pPr>
        <w:numPr>
          <w:ilvl w:val="0"/>
          <w:numId w:val="1001"/>
        </w:numPr>
        <w:pStyle w:val="Compact"/>
      </w:pPr>
      <w:r>
        <w:rPr>
          <w:bCs/>
          <w:b/>
        </w:rPr>
        <w:t xml:space="preserve">Prescription Medication Growth:</w:t>
      </w:r>
      <w:r>
        <w:t xml:space="preserve"> </w:t>
      </w:r>
      <w:r>
        <w:t xml:space="preserve">+24.7% YoY, driven by increased chronic disease management programs</w:t>
      </w:r>
    </w:p>
    <w:p>
      <w:pPr>
        <w:numPr>
          <w:ilvl w:val="0"/>
          <w:numId w:val="1001"/>
        </w:numPr>
        <w:pStyle w:val="Compact"/>
      </w:pPr>
      <w:r>
        <w:rPr>
          <w:bCs/>
          <w:b/>
        </w:rPr>
        <w:t xml:space="preserve">OTC &amp; Wellness Products:</w:t>
      </w:r>
      <w:r>
        <w:t xml:space="preserve"> </w:t>
      </w:r>
      <w:r>
        <w:t xml:space="preserve">+15.2% YoY, reflecting rising health consciousness in UAE Abu Dhabi communities</w:t>
      </w:r>
    </w:p>
    <w:p>
      <w:pPr>
        <w:numPr>
          <w:ilvl w:val="0"/>
          <w:numId w:val="1001"/>
        </w:numPr>
        <w:pStyle w:val="Compact"/>
      </w:pPr>
      <w:r>
        <w:rPr>
          <w:bCs/>
          <w:b/>
        </w:rPr>
        <w:t xml:space="preserve">International Brand Penetration:</w:t>
      </w:r>
      <w:r>
        <w:t xml:space="preserve"> </w:t>
      </w:r>
      <w:r>
        <w:t xml:space="preserve">32% of total sales now from global pharmaceutical brands, up from 27% last year</w:t>
      </w:r>
    </w:p>
    <w:p>
      <w:pPr>
        <w:pStyle w:val="FirstParagraph"/>
      </w:pPr>
      <w:r>
        <w:t xml:space="preserve">The success is particularly notable given the recent regulatory changes by the Ministry of Health and Prevention (MOHAP) in United Arab Emirates Abu Dhabi, which mandated enhanced digital prescription verification. Our early adoption of MOHAP-compliant systems contributed to a 33% reduction in prescription processing time, directly boosting customer satisfaction scores to 4.7/5.</w:t>
      </w:r>
    </w:p>
    <w:bookmarkEnd w:id="21"/>
    <w:bookmarkStart w:id="22" w:name="product-category-analysis"/>
    <w:p>
      <w:pPr>
        <w:pStyle w:val="Heading2"/>
      </w:pPr>
      <w:r>
        <w:t xml:space="preserve">3. Product Category Analysis</w:t>
      </w:r>
    </w:p>
    <w:p>
      <w:pPr>
        <w:pStyle w:val="FirstParagraph"/>
      </w:pPr>
      <w:r>
        <w:t xml:space="preserve">Our Abu Dhabi Chemist locations revealed distinct purchasing patterns influenced by cultural preferences and local health priorities: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Revenue (AED)</w:t>
            </w:r>
          </w:p>
        </w:tc>
        <w:tc>
          <w:tcPr/>
          <w:p>
            <w:pPr>
              <w:pStyle w:val="Compact"/>
              <w:jc w:val="left"/>
            </w:pPr>
            <w:r>
              <w:t xml:space="preserve">MoM Change</w:t>
            </w:r>
          </w:p>
        </w:tc>
        <w:tc>
          <w:tcPr/>
          <w:p>
            <w:pPr>
              <w:pStyle w:val="Compact"/>
              <w:jc w:val="left"/>
            </w:pPr>
            <w:r>
              <w:t xml:space="preserve">Key Insights</w:t>
            </w:r>
          </w:p>
        </w:tc>
      </w:tr>
      <w:tr>
        <w:tc>
          <w:tcPr/>
          <w:p>
            <w:pPr>
              <w:pStyle w:val="Compact"/>
              <w:jc w:val="left"/>
            </w:pPr>
            <w:r>
              <w:t xml:space="preserve">Chronic Disease Medications (Diabetes, Hypertension)</w:t>
            </w:r>
          </w:p>
        </w:tc>
        <w:tc>
          <w:tcPr/>
          <w:p>
            <w:pPr>
              <w:pStyle w:val="Compact"/>
              <w:jc w:val="left"/>
            </w:pPr>
            <w:r>
              <w:t xml:space="preserve">624,300</w:t>
            </w:r>
          </w:p>
        </w:tc>
        <w:tc>
          <w:tcPr/>
          <w:p>
            <w:pPr>
              <w:pStyle w:val="Compact"/>
              <w:jc w:val="left"/>
            </w:pPr>
            <w:r>
              <w:t xml:space="preserve">+29.1%</w:t>
            </w:r>
          </w:p>
        </w:tc>
        <w:tc>
          <w:tcPr/>
          <w:p>
            <w:pPr>
              <w:pStyle w:val="Compact"/>
              <w:jc w:val="left"/>
            </w:pPr>
            <w:r>
              <w:t xml:space="preserve">Peak demand during Ramadan health awareness campaigns</w:t>
            </w:r>
          </w:p>
        </w:tc>
      </w:tr>
      <w:tr>
        <w:tc>
          <w:tcPr/>
          <w:p>
            <w:pPr>
              <w:pStyle w:val="Compact"/>
              <w:jc w:val="left"/>
            </w:pPr>
            <w:r>
              <w:t xml:space="preserve">Vitamins &amp; Supplements</w:t>
            </w:r>
          </w:p>
        </w:tc>
        <w:tc>
          <w:tcPr/>
          <w:p>
            <w:pPr>
              <w:pStyle w:val="Compact"/>
              <w:jc w:val="left"/>
            </w:pPr>
            <w:r>
              <w:t xml:space="preserve">329,700</w:t>
            </w:r>
          </w:p>
        </w:tc>
        <w:tc>
          <w:tcPr/>
          <w:p>
            <w:pPr>
              <w:pStyle w:val="Compact"/>
              <w:jc w:val="left"/>
            </w:pPr>
            <w:r>
              <w:t xml:space="preserve">+16.3%</w:t>
            </w:r>
          </w:p>
        </w:tc>
        <w:tc>
          <w:tcPr/>
          <w:p>
            <w:pPr>
              <w:pStyle w:val="Compact"/>
              <w:jc w:val="left"/>
            </w:pPr>
            <w:r>
              <w:t xml:space="preserve">Increased demand for immune-boosting products post-COVID</w:t>
            </w:r>
          </w:p>
        </w:tc>
      </w:tr>
      <w:tr>
        <w:tc>
          <w:tcPr/>
          <w:p>
            <w:pPr>
              <w:pStyle w:val="Compact"/>
              <w:jc w:val="left"/>
            </w:pPr>
            <w:r>
              <w:t xml:space="preserve">OTC Pain Relievers</w:t>
            </w:r>
          </w:p>
        </w:tc>
        <w:tc>
          <w:tcPr/>
          <w:p>
            <w:pPr>
              <w:pStyle w:val="Compact"/>
              <w:jc w:val="left"/>
            </w:pPr>
            <w:r>
              <w:t xml:space="preserve">217,400</w:t>
            </w:r>
          </w:p>
        </w:tc>
        <w:tc>
          <w:tcPr/>
          <w:p>
            <w:pPr>
              <w:pStyle w:val="Compact"/>
              <w:jc w:val="left"/>
            </w:pPr>
            <w:r>
              <w:t xml:space="preserve">+9.8%</w:t>
            </w:r>
          </w:p>
        </w:tc>
        <w:tc>
          <w:tcPr/>
          <w:p>
            <w:pPr>
              <w:pStyle w:val="Compact"/>
              <w:jc w:val="left"/>
            </w:pPr>
            <w:r>
              <w:t xml:space="preserve">Summer heat-driven demand</w:t>
            </w:r>
          </w:p>
        </w:tc>
      </w:tr>
      <w:tr>
        <w:tc>
          <w:tcPr/>
          <w:p>
            <w:pPr>
              <w:pStyle w:val="Compact"/>
              <w:jc w:val="left"/>
            </w:pPr>
            <w:r>
              <w:t xml:space="preserve">Personal Care (Feminine Health, Skincare)</w:t>
            </w:r>
          </w:p>
        </w:tc>
        <w:tc>
          <w:tcPr/>
          <w:p>
            <w:pPr>
              <w:pStyle w:val="Compact"/>
              <w:jc w:val="left"/>
            </w:pPr>
            <w:r>
              <w:t xml:space="preserve">265,900</w:t>
            </w:r>
          </w:p>
        </w:tc>
        <w:tc>
          <w:tcPr/>
          <w:p>
            <w:pPr>
              <w:pStyle w:val="Compact"/>
              <w:jc w:val="left"/>
            </w:pPr>
            <w:r>
              <w:t xml:space="preserve">+21.4%</w:t>
            </w:r>
          </w:p>
        </w:tc>
        <w:tc>
          <w:tcPr/>
          <w:p>
            <w:pPr>
              <w:pStyle w:val="Compact"/>
              <w:jc w:val="left"/>
            </w:pPr>
            <w:r>
              <w:t xml:space="preserve">Growing market segment among expatriate women in Abu Dhabi</w:t>
            </w:r>
          </w:p>
        </w:tc>
      </w:tr>
    </w:tbl>
    <w:bookmarkEnd w:id="22"/>
    <w:bookmarkStart w:id="23" w:name="Xff6839e4db58d2e67a2cce12529a984267150fa"/>
    <w:p>
      <w:pPr>
        <w:pStyle w:val="Heading2"/>
      </w:pPr>
      <w:r>
        <w:t xml:space="preserve">4. Market Dynamics in United Arab Emirates Abu Dhabi</w:t>
      </w:r>
    </w:p>
    <w:p>
      <w:pPr>
        <w:pStyle w:val="FirstParagraph"/>
      </w:pPr>
      <w:r>
        <w:t xml:space="preserve">The Abu Dhabi pharmaceutical market continues to evolve with several key trends impacting our Chemist operations:</w:t>
      </w:r>
    </w:p>
    <w:p>
      <w:pPr>
        <w:numPr>
          <w:ilvl w:val="0"/>
          <w:numId w:val="1002"/>
        </w:numPr>
        <w:pStyle w:val="Compact"/>
      </w:pPr>
      <w:r>
        <w:rPr>
          <w:bCs/>
          <w:b/>
        </w:rPr>
        <w:t xml:space="preserve">Telehealth Integration:</w:t>
      </w:r>
      <w:r>
        <w:t xml:space="preserve"> </w:t>
      </w:r>
      <w:r>
        <w:t xml:space="preserve">Partnerships with Abu Dhabi Telemedicine platforms generated AED 82,000 in referral sales this month</w:t>
      </w:r>
    </w:p>
    <w:p>
      <w:pPr>
        <w:numPr>
          <w:ilvl w:val="0"/>
          <w:numId w:val="1002"/>
        </w:numPr>
        <w:pStyle w:val="Compact"/>
      </w:pPr>
      <w:r>
        <w:rPr>
          <w:bCs/>
          <w:b/>
        </w:rPr>
        <w:t xml:space="preserve">Sustainability Focus:</w:t>
      </w:r>
      <w:r>
        <w:t xml:space="preserve"> </w:t>
      </w:r>
      <w:r>
        <w:t xml:space="preserve">Eco-friendly packaging adoption increased customer retention by 14% among UAE nationals</w:t>
      </w:r>
    </w:p>
    <w:p>
      <w:pPr>
        <w:numPr>
          <w:ilvl w:val="0"/>
          <w:numId w:val="1002"/>
        </w:numPr>
        <w:pStyle w:val="Compact"/>
      </w:pPr>
      <w:r>
        <w:rPr>
          <w:bCs/>
          <w:b/>
        </w:rPr>
        <w:t xml:space="preserve">Cultural Adaptation:</w:t>
      </w:r>
      <w:r>
        <w:t xml:space="preserve"> </w:t>
      </w:r>
      <w:r>
        <w:t xml:space="preserve">Increased demand for halal-certified medications (+37% YoY) aligning with Abu Dhabi's cultural policies</w:t>
      </w:r>
    </w:p>
    <w:p>
      <w:pPr>
        <w:numPr>
          <w:ilvl w:val="0"/>
          <w:numId w:val="1002"/>
        </w:numPr>
        <w:pStyle w:val="Compact"/>
      </w:pPr>
      <w:r>
        <w:rPr>
          <w:bCs/>
          <w:b/>
        </w:rPr>
        <w:t xml:space="preserve">Tourism Impact:</w:t>
      </w:r>
      <w:r>
        <w:t xml:space="preserve"> </w:t>
      </w:r>
      <w:r>
        <w:t xml:space="preserve">18.2% of pharmacy traffic came from international visitors, highlighting Abu Dhabi's status as a global destination</w:t>
      </w:r>
    </w:p>
    <w:p>
      <w:pPr>
        <w:pStyle w:val="FirstParagraph"/>
      </w:pPr>
      <w:r>
        <w:t xml:space="preserve">Notably, the Abu Dhabi Health Services (SEHA) data shows a 22% rise in chronic disease diagnosis rates since 2021, directly benefiting our Chemist medication sales. This trend is being addressed through our "Abu Dhabi Wellness Initiative" which provided free blood pressure screenings at 17 locations during September.</w:t>
      </w:r>
    </w:p>
    <w:bookmarkEnd w:id="23"/>
    <w:bookmarkStart w:id="24" w:name="challenges-strategic-response"/>
    <w:p>
      <w:pPr>
        <w:pStyle w:val="Heading2"/>
      </w:pPr>
      <w:r>
        <w:t xml:space="preserve">5. Challenges &amp; Strategic Response</w:t>
      </w:r>
    </w:p>
    <w:p>
      <w:pPr>
        <w:pStyle w:val="FirstParagraph"/>
      </w:pPr>
      <w:r>
        <w:t xml:space="preserve">While performance was strong, two critical challenges emerged in the United Arab Emirates Abu Dhabi market:</w:t>
      </w:r>
    </w:p>
    <w:p>
      <w:pPr>
        <w:numPr>
          <w:ilvl w:val="0"/>
          <w:numId w:val="1003"/>
        </w:numPr>
        <w:pStyle w:val="Compact"/>
      </w:pPr>
      <w:r>
        <w:rPr>
          <w:bCs/>
          <w:b/>
        </w:rPr>
        <w:t xml:space="preserve">Regulatory Compliance Costs:</w:t>
      </w:r>
      <w:r>
        <w:t xml:space="preserve"> </w:t>
      </w:r>
      <w:r>
        <w:t xml:space="preserve">New MOHAP requirements increased operational costs by 5.7%. Our solution involved implementing an AI-driven compliance module that reduced manual processes by 63%.</w:t>
      </w:r>
    </w:p>
    <w:p>
      <w:pPr>
        <w:numPr>
          <w:ilvl w:val="0"/>
          <w:numId w:val="1003"/>
        </w:numPr>
        <w:pStyle w:val="Compact"/>
      </w:pPr>
      <w:r>
        <w:rPr>
          <w:bCs/>
          <w:b/>
        </w:rPr>
        <w:t xml:space="preserve">Competitive Pricing Pressure:</w:t>
      </w:r>
      <w:r>
        <w:t xml:space="preserve"> </w:t>
      </w:r>
      <w:r>
        <w:t xml:space="preserve">Rival chains introduced discount programs targeting our core OTC categories. Countermeasure: Launched the "Chemist Priority Rewards" loyalty program, securing 12,500 new members in September.</w:t>
      </w:r>
    </w:p>
    <w:bookmarkEnd w:id="24"/>
    <w:bookmarkStart w:id="25" w:name="recommendations-for-q4-2023"/>
    <w:p>
      <w:pPr>
        <w:pStyle w:val="Heading2"/>
      </w:pPr>
      <w:r>
        <w:t xml:space="preserve">6. Recommendations for Q4 2023</w:t>
      </w:r>
    </w:p>
    <w:p>
      <w:pPr>
        <w:pStyle w:val="FirstParagraph"/>
      </w:pPr>
      <w:r>
        <w:t xml:space="preserve">Based on this</w:t>
      </w:r>
      <w:r>
        <w:t xml:space="preserve"> </w:t>
      </w:r>
      <w:r>
        <w:rPr>
          <w:bCs/>
          <w:b/>
        </w:rPr>
        <w:t xml:space="preserve">Sales Report</w:t>
      </w:r>
      <w:r>
        <w:t xml:space="preserve">, we recommend the following strategic initiatives for our Chemist operations across United Arab Emirates Abu Dhabi:</w:t>
      </w:r>
    </w:p>
    <w:p>
      <w:pPr>
        <w:numPr>
          <w:ilvl w:val="0"/>
          <w:numId w:val="1004"/>
        </w:numPr>
        <w:pStyle w:val="Compact"/>
      </w:pPr>
      <w:r>
        <w:rPr>
          <w:bCs/>
          <w:b/>
        </w:rPr>
        <w:t xml:space="preserve">Expand Chronic Disease Management:</w:t>
      </w:r>
      <w:r>
        <w:t xml:space="preserve"> </w:t>
      </w:r>
      <w:r>
        <w:t xml:space="preserve">Launch specialized diabetes clinics at all Abu Dhabi locations by Q1 2024</w:t>
      </w:r>
    </w:p>
    <w:p>
      <w:pPr>
        <w:numPr>
          <w:ilvl w:val="0"/>
          <w:numId w:val="1004"/>
        </w:numPr>
        <w:pStyle w:val="Compact"/>
      </w:pPr>
      <w:r>
        <w:rPr>
          <w:bCs/>
          <w:b/>
        </w:rPr>
        <w:t xml:space="preserve">Localize Product Range:</w:t>
      </w:r>
      <w:r>
        <w:t xml:space="preserve"> </w:t>
      </w:r>
      <w:r>
        <w:t xml:space="preserve">Introduce UAE-specific supplement formulations based on local dietary habits</w:t>
      </w:r>
    </w:p>
    <w:p>
      <w:pPr>
        <w:numPr>
          <w:ilvl w:val="0"/>
          <w:numId w:val="1004"/>
        </w:numPr>
        <w:pStyle w:val="Compact"/>
      </w:pPr>
      <w:r>
        <w:rPr>
          <w:bCs/>
          <w:b/>
        </w:rPr>
        <w:t xml:space="preserve">Social Media Engagement:</w:t>
      </w:r>
      <w:r>
        <w:t xml:space="preserve"> </w:t>
      </w:r>
      <w:r>
        <w:t xml:space="preserve">Develop Arabic-language health content targeting Abu Dhabi's youth demographic</w:t>
      </w:r>
    </w:p>
    <w:p>
      <w:pPr>
        <w:numPr>
          <w:ilvl w:val="0"/>
          <w:numId w:val="1004"/>
        </w:numPr>
        <w:pStyle w:val="Compact"/>
      </w:pPr>
      <w:r>
        <w:rPr>
          <w:bCs/>
          <w:b/>
        </w:rPr>
        <w:t xml:space="preserve">Sustainability Drive:</w:t>
      </w:r>
      <w:r>
        <w:t xml:space="preserve"> </w:t>
      </w:r>
      <w:r>
        <w:t xml:space="preserve">Achieve 100% recyclable packaging across all Chemist outlets by end of Q4</w:t>
      </w:r>
    </w:p>
    <w:bookmarkEnd w:id="25"/>
    <w:bookmarkStart w:id="26" w:name="conclusion"/>
    <w:p>
      <w:pPr>
        <w:pStyle w:val="Heading2"/>
      </w:pPr>
      <w:r>
        <w:t xml:space="preserve">7. Conclusion</w:t>
      </w:r>
    </w:p>
    <w:p>
      <w:pPr>
        <w:pStyle w:val="FirstParagraph"/>
      </w:pPr>
      <w:r>
        <w:t xml:space="preserve">The September 2023</w:t>
      </w:r>
      <w:r>
        <w:t xml:space="preserve"> </w:t>
      </w:r>
      <w:r>
        <w:rPr>
          <w:bCs/>
          <w:b/>
        </w:rPr>
        <w:t xml:space="preserve">Sales Report</w:t>
      </w:r>
      <w:r>
        <w:t xml:space="preserve"> </w:t>
      </w:r>
      <w:r>
        <w:t xml:space="preserve">confirms that our Chemist pharmacy chain has established itself as a market leader in the United Arab Emirates Abu Dhabi healthcare sector. With strategic focus on regulatory compliance, cultural adaptation, and community health initiatives, we've not only met but exceeded performance targets. The continued growth in prescription medication sales (24.7% YoY) demonstrates our success in addressing Abu Dhabi's evolving healthcare needs.</w:t>
      </w:r>
    </w:p>
    <w:p>
      <w:pPr>
        <w:pStyle w:val="BodyText"/>
      </w:pPr>
      <w:r>
        <w:t xml:space="preserve">As the United Arab Emirates continues its Vision 2030 healthcare transformation, our Chemist locations are positioned to play a pivotal role through enhanced digital services and community health engagement. The upcoming Eid season presents a significant opportunity to further expand our market leadership in Abu Dhabi. We recommend maintaining this momentum with targeted investments in telehealth integration and culturally responsive product development, ensuring sustainable growth that aligns with both Abu Dhabi's healthcare strategy and global best practices.</w:t>
      </w:r>
    </w:p>
    <w:p>
      <w:pPr>
        <w:pStyle w:val="BodyText"/>
      </w:pPr>
      <w:r>
        <w:t xml:space="preserve">"In the United Arab Emirates Abu Dhabi, where health is a priority for every community member, our Chemist pharmacy network remains committed to being the trusted partner in wellness."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Chemist Sales Report - United Arab Emirates</dc:title>
  <dc:creator/>
  <dc:language>en</dc:language>
  <cp:keywords/>
  <dcterms:created xsi:type="dcterms:W3CDTF">2026-07-21T06:17:14Z</dcterms:created>
  <dcterms:modified xsi:type="dcterms:W3CDTF">2026-07-21T06:17:14Z</dcterms:modified>
</cp:coreProperties>
</file>

<file path=docProps/custom.xml><?xml version="1.0" encoding="utf-8"?>
<Properties xmlns="http://schemas.openxmlformats.org/officeDocument/2006/custom-properties" xmlns:vt="http://schemas.openxmlformats.org/officeDocument/2006/docPropsVTypes"/>
</file>