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London</w:t>
      </w:r>
      <w:r>
        <w:t xml:space="preserve"> </w:t>
      </w:r>
      <w:r>
        <w:t xml:space="preserve">Chemist</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Kingdom</w:t>
      </w:r>
    </w:p>
    <w:bookmarkStart w:id="28" w:name="Xf0e5b203ff67f2841e7419ffc9601d2e8f7d1bf"/>
    <w:p>
      <w:pPr>
        <w:pStyle w:val="Heading1"/>
      </w:pPr>
      <w:r>
        <w:t xml:space="preserve">Comprehensive Sales Report: Premier Chemist Operations in United Kingdom London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Directors, National Pharmacy Group</w:t>
      </w:r>
      <w:r>
        <w:br/>
      </w:r>
      <w:r>
        <w:rPr>
          <w:bCs/>
          <w:b/>
        </w:rPr>
        <w:t xml:space="preserve">Purpose:</w:t>
      </w:r>
      <w:r>
        <w:t xml:space="preserve"> </w:t>
      </w:r>
      <w:r>
        <w:t xml:space="preserve">Annual Performance Analysis for Chemist Retail Operations across United Kingdom London</w:t>
      </w:r>
    </w:p>
    <w:bookmarkStart w:id="20" w:name="executive-summary"/>
    <w:p>
      <w:pPr>
        <w:pStyle w:val="Heading2"/>
      </w:pPr>
      <w:r>
        <w:t xml:space="preserve">Executive Summary</w:t>
      </w:r>
    </w:p>
    <w:p>
      <w:pPr>
        <w:pStyle w:val="FirstParagraph"/>
      </w:pPr>
      <w:r>
        <w:t xml:space="preserve">This Sales Report provides a detailed analysis of the performance metrics for our flagship chemist retail chain operating within the competitive landscape of United Kingdom London. As one of the largest independent chemist networks serving Greater London, we have achieved remarkable growth in Q3 2023, demonstrating resilience against national economic fluctuations. The report confirms that our strategic focus on community healthcare access and digital integration has positioned our Chemist locations as trusted health partners across diverse London boroughs. This Sales Report underscores a 14.7% year-over-year revenue increase, significantly outperforming the UK pharmaceutical retail sector average of 6.2%.</w:t>
      </w:r>
    </w:p>
    <w:bookmarkEnd w:id="20"/>
    <w:bookmarkStart w:id="21" w:name="X85a91f4290d0f6b7f27efcccfab12d4bcbc89ae"/>
    <w:p>
      <w:pPr>
        <w:pStyle w:val="Heading2"/>
      </w:pPr>
      <w:r>
        <w:t xml:space="preserve">Market Context: United Kingdom London Chemist Landscape</w:t>
      </w:r>
    </w:p>
    <w:p>
      <w:pPr>
        <w:pStyle w:val="FirstParagraph"/>
      </w:pPr>
      <w:r>
        <w:t xml:space="preserve">The United Kingdom London market presents unique dynamics for chemist operations, characterized by dense urban populations, high healthcare demand, and evolving NHS partnerships. With over 1,300 pharmacies in London alone (as per Pharmaceutical Services Negotiating Committee data), our chemist locations face intense competition yet benefit from consistent customer retention through personalized care. The recent expansion of NHS community pharmacy services has further elevated the strategic importance of each Chemist location within United Kingdom's primary healthcare ecosystem. This Sales Report highlights how our London chemist network has capitalized on these opportunities while navigating rising operational costs and supply chain complexities.</w:t>
      </w:r>
    </w:p>
    <w:bookmarkEnd w:id="21"/>
    <w:bookmarkStart w:id="22" w:name="q3-2023-performance-highlights"/>
    <w:p>
      <w:pPr>
        <w:pStyle w:val="Heading2"/>
      </w:pPr>
      <w:r>
        <w:t xml:space="preserve">Q3 2023 Performance Highlights</w:t>
      </w:r>
    </w:p>
    <w:p>
      <w:pPr>
        <w:pStyle w:val="FirstParagraph"/>
      </w:pPr>
      <w:r>
        <w:t xml:space="preserve">Our London-based chemist operations generated £18.7M in total sales during Q3 2023, with prescription services contributing 58% (£10.8M) and over-the-counter (OTC) products accounting for 42% (£7.9M). This represents a significant improvement from Q3 2022's £16.3M total sales. Notable achievements include:</w:t>
      </w:r>
    </w:p>
    <w:p>
      <w:pPr>
        <w:numPr>
          <w:ilvl w:val="0"/>
          <w:numId w:val="1001"/>
        </w:numPr>
        <w:pStyle w:val="Compact"/>
      </w:pPr>
      <w:r>
        <w:rPr>
          <w:bCs/>
          <w:b/>
        </w:rPr>
        <w:t xml:space="preserve">Prescription Growth:</w:t>
      </w:r>
      <w:r>
        <w:t xml:space="preserve"> </w:t>
      </w:r>
      <w:r>
        <w:t xml:space="preserve">+18.3% year-on-year driven by expanded NHS contracts in Tower Hamlets and Newham boroughs</w:t>
      </w:r>
    </w:p>
    <w:p>
      <w:pPr>
        <w:numPr>
          <w:ilvl w:val="0"/>
          <w:numId w:val="1001"/>
        </w:numPr>
        <w:pStyle w:val="Compact"/>
      </w:pPr>
      <w:r>
        <w:rPr>
          <w:bCs/>
          <w:b/>
        </w:rPr>
        <w:t xml:space="preserve">Digital Engagement:</w:t>
      </w:r>
      <w:r>
        <w:t xml:space="preserve"> </w:t>
      </w:r>
      <w:r>
        <w:t xml:space="preserve">63% of London customers accessed our online prescription service (up from 47% in Q3 2022)</w:t>
      </w:r>
    </w:p>
    <w:p>
      <w:pPr>
        <w:numPr>
          <w:ilvl w:val="0"/>
          <w:numId w:val="1001"/>
        </w:numPr>
        <w:pStyle w:val="Compact"/>
      </w:pPr>
      <w:r>
        <w:rPr>
          <w:bCs/>
          <w:b/>
        </w:rPr>
        <w:t xml:space="preserve">Community Health Initiatives:</w:t>
      </w:r>
      <w:r>
        <w:t xml:space="preserve"> </w:t>
      </w:r>
      <w:r>
        <w:t xml:space="preserve">Free flu vaccination clinics at our chemist locations served 15,800 London residents</w:t>
      </w:r>
    </w:p>
    <w:bookmarkEnd w:id="22"/>
    <w:bookmarkStart w:id="23" w:name="X1328494472ed7d71c6e02de942e49e2e9af3c39"/>
    <w:p>
      <w:pPr>
        <w:pStyle w:val="Heading2"/>
      </w:pPr>
      <w:r>
        <w:t xml:space="preserve">Product Category Analysis by London Borough</w:t>
      </w:r>
    </w:p>
    <w:p>
      <w:pPr>
        <w:pStyle w:val="FirstParagraph"/>
      </w:pPr>
      <w:r>
        <w:t xml:space="preserve">This Sales Report breaks down performance across key product categories within United Kingdom London's diverse markets:</w:t>
      </w:r>
    </w:p>
    <w:p>
      <w:pPr>
        <w:pStyle w:val="BodyText"/>
      </w:pPr>
      <w:r>
        <w:t xml:space="preserve">Category</w:t>
      </w:r>
    </w:p>
    <w:p>
      <w:pPr>
        <w:pStyle w:val="BodyText"/>
      </w:pPr>
      <w:r>
        <w:t xml:space="preserve">London Performance (Q3 2023)</w:t>
      </w:r>
    </w:p>
    <w:p>
      <w:pPr>
        <w:pStyle w:val="BodyText"/>
      </w:pPr>
      <w:r>
        <w:t xml:space="preserve">YoY Change</w:t>
      </w:r>
    </w:p>
    <w:p>
      <w:pPr>
        <w:pStyle w:val="BodyText"/>
      </w:pPr>
      <w:r>
        <w:t xml:space="preserve">Largest Growth Areas</w:t>
      </w:r>
    </w:p>
    <w:p>
      <w:pPr>
        <w:pStyle w:val="BodyText"/>
      </w:pPr>
      <w:r>
        <w:t xml:space="preserve">Prescription Medicines</w:t>
      </w:r>
    </w:p>
    <w:p>
      <w:pPr>
        <w:pStyle w:val="BodyText"/>
      </w:pPr>
      <w:r>
        <w:t xml:space="preserve">£10.8M</w:t>
      </w:r>
    </w:p>
    <w:p>
      <w:pPr>
        <w:pStyle w:val="BodyText"/>
      </w:pPr>
      <w:r>
        <w:t xml:space="preserve">+18.3%</w:t>
      </w:r>
    </w:p>
    <w:p>
      <w:pPr>
        <w:pStyle w:val="BodyText"/>
      </w:pPr>
      <w:r>
        <w:t xml:space="preserve">Copd management, diabetes supplies (29% growth in Camden)</w:t>
      </w:r>
    </w:p>
    <w:p>
      <w:pPr>
        <w:pStyle w:val="BodyText"/>
      </w:pPr>
      <w:r>
        <w:t xml:space="preserve">OTC Healthcare</w:t>
      </w:r>
    </w:p>
    <w:p>
      <w:pPr>
        <w:pStyle w:val="BodyText"/>
      </w:pPr>
      <w:r>
        <w:t xml:space="preserve">£4.2M</w:t>
      </w:r>
    </w:p>
    <w:p>
      <w:pPr>
        <w:pStyle w:val="BodyText"/>
      </w:pPr>
      <w:r>
        <w:t xml:space="preserve">+12.7%</w:t>
      </w:r>
    </w:p>
    <w:p>
      <w:pPr>
        <w:pStyle w:val="BodyText"/>
      </w:pPr>
      <w:r>
        <w:t xml:space="preserve">&lt;</w:t>
      </w:r>
    </w:p>
    <w:p>
      <w:pPr>
        <w:pStyle w:val="BodyText"/>
      </w:pPr>
      <w:r>
        <w:t xml:space="preserve">Skin care (56% growth in Westminster), cold/flu remedies (+34%)</w:t>
      </w:r>
    </w:p>
    <w:p>
      <w:pPr>
        <w:pStyle w:val="BodyText"/>
      </w:pPr>
      <w:r>
        <w:t xml:space="preserve">Personal Care</w:t>
      </w:r>
    </w:p>
    <w:p>
      <w:pPr>
        <w:pStyle w:val="BodyText"/>
      </w:pPr>
      <w:r>
        <w:t xml:space="preserve">£2.1M</w:t>
      </w:r>
    </w:p>
    <w:p>
      <w:pPr>
        <w:pStyle w:val="BodyText"/>
      </w:pPr>
      <w:r>
        <w:t xml:space="preserve">+8.9%</w:t>
      </w:r>
    </w:p>
    <w:p>
      <w:pPr>
        <w:pStyle w:val="BodyText"/>
      </w:pPr>
      <w:r>
        <w:t xml:space="preserve">The data reveals that our London chemist locations have successfully diversified beyond traditional pharmaceutical services, with beauty and wellness products showing exceptional growth in affluent boroughs like Kensington &amp; Chelsea where customer spend increased by 32% compared to the national average.</w:t>
      </w:r>
    </w:p>
    <w:bookmarkEnd w:id="23"/>
    <w:bookmarkStart w:id="24" w:name="customer-behavior-insights"/>
    <w:p>
      <w:pPr>
        <w:pStyle w:val="Heading2"/>
      </w:pPr>
      <w:r>
        <w:t xml:space="preserve">Customer Behavior Insights</w:t>
      </w:r>
    </w:p>
    <w:p>
      <w:pPr>
        <w:pStyle w:val="FirstParagraph"/>
      </w:pPr>
      <w:r>
        <w:t xml:space="preserve">Our analysis of United Kingdom London customer data shows significant behavioral shifts. The Sales Report indicates that 68% of our London chemist customers now utilize mobile apps for repeat prescription ordering—a figure up from 41% in early 2023. Furthermore, demand for health monitoring devices (blood glucose meters, blood pressure monitors) has surged by 51% across all London locations, reflecting the aging population's needs in boroughs like Greenwich and Lambeth. This trend aligns with the UK government's "Digital Health Strategy" and positions our chemist as a forward-thinking healthcare hub in London.</w:t>
      </w:r>
    </w:p>
    <w:bookmarkEnd w:id="24"/>
    <w:bookmarkStart w:id="25" w:name="competitive-positioning"/>
    <w:p>
      <w:pPr>
        <w:pStyle w:val="Heading2"/>
      </w:pPr>
      <w:r>
        <w:t xml:space="preserve">Competitive Positioning</w:t>
      </w:r>
    </w:p>
    <w:p>
      <w:pPr>
        <w:pStyle w:val="FirstParagraph"/>
      </w:pPr>
      <w:r>
        <w:t xml:space="preserve">In the highly competitive United Kingdom London chemist market, our performance surpasses both national benchmarks and key competitors. While major chains like Boots reported 7.1% growth in their London locations, our independent network achieved 14.7% growth through hyper-localized service models. Our Sales Report attributes this to:</w:t>
      </w:r>
    </w:p>
    <w:p>
      <w:pPr>
        <w:numPr>
          <w:ilvl w:val="0"/>
          <w:numId w:val="1002"/>
        </w:numPr>
        <w:pStyle w:val="Compact"/>
      </w:pPr>
      <w:r>
        <w:t xml:space="preserve">Strategic placement of chemist stores within high-demand neighborhoods (e.g., new pharmacy in Hackney with 23% foot traffic increase)</w:t>
      </w:r>
    </w:p>
    <w:p>
      <w:pPr>
        <w:numPr>
          <w:ilvl w:val="0"/>
          <w:numId w:val="1002"/>
        </w:numPr>
        <w:pStyle w:val="Compact"/>
      </w:pPr>
      <w:r>
        <w:t xml:space="preserve">Specialized clinical services (diabetes clinics, smoking cessation programs) unavailable at most chain competitors</w:t>
      </w:r>
    </w:p>
    <w:p>
      <w:pPr>
        <w:numPr>
          <w:ilvl w:val="0"/>
          <w:numId w:val="1002"/>
        </w:numPr>
        <w:pStyle w:val="Compact"/>
      </w:pPr>
      <w:r>
        <w:t xml:space="preserve">Community engagement initiatives that fostered 78% customer loyalty rate in London boroughs</w:t>
      </w:r>
    </w:p>
    <w:bookmarkEnd w:id="25"/>
    <w:bookmarkStart w:id="26" w:name="challenges-and-strategic-opportunities"/>
    <w:p>
      <w:pPr>
        <w:pStyle w:val="Heading2"/>
      </w:pPr>
      <w:r>
        <w:t xml:space="preserve">Challenges and Strategic Opportunities</w:t>
      </w:r>
    </w:p>
    <w:p>
      <w:pPr>
        <w:pStyle w:val="FirstParagraph"/>
      </w:pPr>
      <w:r>
        <w:t xml:space="preserve">Despite strong performance, this Sales Report identifies critical challenges facing our London chemist operations:</w:t>
      </w:r>
    </w:p>
    <w:p>
      <w:pPr>
        <w:numPr>
          <w:ilvl w:val="0"/>
          <w:numId w:val="1003"/>
        </w:numPr>
        <w:pStyle w:val="Compact"/>
      </w:pPr>
      <w:r>
        <w:rPr>
          <w:bCs/>
          <w:b/>
        </w:rPr>
        <w:t xml:space="preserve">Regulatory Pressures:</w:t>
      </w:r>
      <w:r>
        <w:t xml:space="preserve"> </w:t>
      </w:r>
      <w:r>
        <w:t xml:space="preserve">New MHRA guidelines requiring additional staffing for prescription verification have increased operational costs by 9% in London locations</w:t>
      </w:r>
    </w:p>
    <w:p>
      <w:pPr>
        <w:numPr>
          <w:ilvl w:val="0"/>
          <w:numId w:val="1003"/>
        </w:numPr>
        <w:pStyle w:val="Compact"/>
      </w:pPr>
      <w:r>
        <w:rPr>
          <w:bCs/>
          <w:b/>
        </w:rPr>
        <w:t xml:space="preserve">Supply Chain Volatility:</w:t>
      </w:r>
      <w:r>
        <w:t xml:space="preserve"> </w:t>
      </w:r>
      <w:r>
        <w:t xml:space="preserve">Global pharmaceutical shortages impacted 17% of OTC products during summer months, affecting customer satisfaction</w:t>
      </w:r>
    </w:p>
    <w:p>
      <w:pPr>
        <w:pStyle w:val="FirstParagraph"/>
      </w:pPr>
      <w:r>
        <w:t xml:space="preserve">However, these challenges present opportunities for growth. The Sales Report recommends:</w:t>
      </w:r>
    </w:p>
    <w:p>
      <w:pPr>
        <w:numPr>
          <w:ilvl w:val="0"/>
          <w:numId w:val="1004"/>
        </w:numPr>
        <w:pStyle w:val="Compact"/>
      </w:pPr>
      <w:r>
        <w:t xml:space="preserve">Expanding "Pharmacy First" services to capture NHS contracts for minor ailment treatment</w:t>
      </w:r>
    </w:p>
    <w:p>
      <w:pPr>
        <w:numPr>
          <w:ilvl w:val="0"/>
          <w:numId w:val="1004"/>
        </w:numPr>
        <w:pStyle w:val="Compact"/>
      </w:pPr>
      <w:r>
        <w:t xml:space="preserve">Developing borough-specific product assortments (e.g., increased diabetic supplies in Tower Hamlets)</w:t>
      </w:r>
    </w:p>
    <w:p>
      <w:pPr>
        <w:numPr>
          <w:ilvl w:val="0"/>
          <w:numId w:val="1004"/>
        </w:numPr>
        <w:pStyle w:val="Compact"/>
      </w:pPr>
      <w:r>
        <w:t xml:space="preserve">Implementing AI-driven inventory management to mitigate supply chain disruptions across United Kingdom London</w:t>
      </w:r>
    </w:p>
    <w:bookmarkEnd w:id="26"/>
    <w:bookmarkStart w:id="27" w:name="conclusion-and-forward-strategy"/>
    <w:p>
      <w:pPr>
        <w:pStyle w:val="Heading2"/>
      </w:pPr>
      <w:r>
        <w:t xml:space="preserve">Conclusion and Forward Strategy</w:t>
      </w:r>
    </w:p>
    <w:p>
      <w:pPr>
        <w:pStyle w:val="FirstParagraph"/>
      </w:pPr>
      <w:r>
        <w:t xml:space="preserve">This comprehensive Sales Report confirms that our chemist business model is exceptionally well-aligned with the healthcare needs of United Kingdom London communities. The 14.7% growth in Q3 2023 demonstrates how strategically positioned chemist locations can thrive amid market pressures while delivering essential community health services.</w:t>
      </w:r>
    </w:p>
    <w:p>
      <w:pPr>
        <w:pStyle w:val="BodyText"/>
      </w:pPr>
      <w:r>
        <w:t xml:space="preserve">Looking ahead, we recommend accelerating our digital transformation to enhance the customer experience across all London chemist locations. By leveraging London's high smartphone penetration rate (89% of residents), we can further integrate telehealth consultations and personalized health analytics into our service offerings. This will solidify our position as not just a pharmacy but a holistic healthcare partner within every United Kingdom London neighborhood.</w:t>
      </w:r>
    </w:p>
    <w:p>
      <w:pPr>
        <w:pStyle w:val="BodyText"/>
      </w:pPr>
      <w:r>
        <w:t xml:space="preserve">Our commitment to maintaining the highest standards of care at each chemist location remains unwavering. As healthcare access becomes increasingly vital in urban settings, this Sales Report affirms that our network of chemist stores is uniquely positioned to serve London's evolving needs while driving sustainable business growth across the United Kingdom.</w:t>
      </w:r>
    </w:p>
    <w:p>
      <w:pPr>
        <w:pStyle w:val="BodyText"/>
      </w:pPr>
      <w:r>
        <w:rPr>
          <w:bCs/>
          <w:b/>
        </w:rPr>
        <w:t xml:space="preserve">Prepared by:</w:t>
      </w:r>
      <w:r>
        <w:t xml:space="preserve"> </w:t>
      </w:r>
      <w:r>
        <w:t xml:space="preserve">National Retail Analytics Division</w:t>
      </w:r>
      <w:r>
        <w:br/>
      </w:r>
      <w:r>
        <w:rPr>
          <w:bCs/>
          <w:b/>
        </w:rPr>
        <w:t xml:space="preserve">For further inquiries regarding United Kingdom London chemist operations:</w:t>
      </w:r>
      <w:r>
        <w:t xml:space="preserve"> </w:t>
      </w:r>
      <w:r>
        <w:t xml:space="preserve">sales@chemistnetwork.co.uk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Chemist Sales Report - United Kingdom</dc:title>
  <dc:creator/>
  <dc:language>en</dc:language>
  <cp:keywords/>
  <dcterms:created xsi:type="dcterms:W3CDTF">2025-12-10T14:57:24Z</dcterms:created>
  <dcterms:modified xsi:type="dcterms:W3CDTF">2025-12-10T14:57:24Z</dcterms:modified>
</cp:coreProperties>
</file>

<file path=docProps/custom.xml><?xml version="1.0" encoding="utf-8"?>
<Properties xmlns="http://schemas.openxmlformats.org/officeDocument/2006/custom-properties" xmlns:vt="http://schemas.openxmlformats.org/officeDocument/2006/docPropsVTypes"/>
</file>